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09/02/1984</w:t>
      </w:r>
    </w:p>
    <w:p/>
    <w:p>
      <w:r>
        <w:t xml:space="preserve">SE AQUELA INTEGRA A REMUNERAÇÃO PARA O EFEITO DESTA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Coerente com pronunciamentos anteriores, entendo que a gratificação de função não integra a remuneração, para efeito de cálculo da gratificação semestral, já que a última é paga na base de um salário, despido de adicionais. - Negado provimento ao recurso. Proc. TST-RR-3.908/82, Julgado em 10-02-1984 Arquivo do Ementário Forense, TST/1.681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gratificação de função não integra a remuneração, para efeito de cálculo da gratificação semestral, já que a última é paga na base de um salário, despido de adicionais.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2026-10-26T03:25:15.653Z</dcterms:created>
  <dcterms:modified xsi:type="dcterms:W3CDTF">2026-10-26T03:25:15.653Z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