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09/08/1983</w:t>
      </w:r>
    </w:p>
    <w:p/>
    <w:p>
      <w:r>
        <w:t xml:space="preserve">DIRIGENTE DESTA — SE ESTÁ NELA COMPREENDIDO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 ... . - Entendo que a regra do art. 543, § 3º da CLT, não compreende os dirigentes ou suplentes de associações profissionais. A "estabilidade provisória" que ali se refere, é restrita à representação sindical, pois a associação profissional não é única, e a própria lei permite a criação de várias associações. Desta forma, entende-se que a unidade sindical depende de suas próprias regalias, impossível então, que outros órgãos atuem da mesma forma, pois a representatividade do Sindicato teria que ser dividida. Corretas a decisão da MM. Junta, confirmada pelo Regional. - Nego provimento. Proc. TST-RR-2.453/82, Julgado em 10-08-1983 VENCIDOS OS MINISTROS ALVES DE ALMEIDA (Relator) e ORLANDO TEIXEIRA DA COSTA. Arquivo do EMFOR, TST/1.667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provisória de que trata o artigo 543, § 3º da Consolidação das Leis do Trabalho, não compreende os dirigentes de associação profissional. - A representatividade do Sindicato não há de ser dividida.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2026-07-28T04:26:19.535Z</dcterms:created>
  <dcterms:modified xsi:type="dcterms:W3CDTF">2026-07-28T04:26:19.535Z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