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27/03/1984</w:t>
      </w:r>
    </w:p>
    <w:p/>
    <w:p>
      <w:r>
        <w:t xml:space="preserve">OPÇÃO PELO REGIME DA C.L.T. — PERDA DO ABONO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optar pelo regime celetista, o empregado funcionário público perde o direito ao abono família, que é benefício atribuído ao empregado regido pelo estatuto, e garante a percepção de um outro benefício, regido pela Lei nº 4.266/63, que efetivamente possui a mesma natureza daquele. - Ainda, em relação à alegação da existência de direito adquirido, a hipótese encontra óbice na Lei nº 6.184/74, que expressamente assegura aos optantes os direitos ao "cômputo do tempo de serviço anteriormente prestado à administração pública"..., e "cômputo em dobro para fins de aposentadoria dos períodos de licença não gozada". - Portanto, vê-se que não há referência em relação ao direito de percepção do abono família. - Nego Provimento. Proc. TST-RR-6.956/82, Julgado em 28-03-1984 VENCIDO O MINISTRO ALVES DE ALMEIDA ( Relator:) Arquivo do EMFOR, TST/1.669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optar pelo regime celetista, o empregado funcionário público perde o direito ao abono família, que é benefício atribuído ao empregado regido pelo estatuto, e garante a percepção de um outro benefício, regido pela Lei nº 4.266/63, que efetivamente possui a mesma natureza daquele.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2026-10-16T17:10:12.814Z</dcterms:created>
  <dcterms:modified xsi:type="dcterms:W3CDTF">2026-10-16T17:10:12.814Z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