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27/03/1984</w:t>
      </w:r>
    </w:p>
    <w:p/>
    <w:p>
      <w:r>
        <w:t xml:space="preserve">OPÇÃO PELO REGIME DA C.L.T. — PERDA DO ABONO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optar pelo regime celetista, o empregado funcionário público perde o direito ao abono família, que é benefício atribuído ao empregado regido pelo estatuto, e garante a percepção de um outro benefício, regido pela Lei nº 4.266/63, que efetivamente possui a mesma natureza daquele. - Ainda, em relação à alegação da existência de direito adquirido, a hipótese encontra óbice na Lei nº 6.184/74, que expressamente assegura aos optantes os direitos ao "cômputo do tempo de serviço anteriormente prestado à administração pública"..., e "cômputo em dobro para fins de aposentadoria dos períodos de licença não gozada". - Portanto, vê-se que não há referência em relação ao direito de percepção do abono família. - Nego Provimento. Proc. TST-RR-6.956/82, Julgado em 28-03-1984 VENCIDO O MINISTRO ALVES DE ALMEIDA ( Relator:) Arquivo do EMFOR, TST/1.669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optar pelo regime celetista, o empregado funcionário público perde o direito ao abono família, que é benefício atribuído ao empregado regido pelo estatuto, e garante a percepção de um outro benefício, regido pela Lei nº 4.266/63, que efetivamente possui a mesma natureza daquele.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2026-07-28T03:30:13.635Z</dcterms:created>
  <dcterms:modified xsi:type="dcterms:W3CDTF">2026-07-28T03:30:13.635Z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