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08/08/1983</w:t>
      </w:r>
    </w:p>
    <w:p/>
    <w:p>
      <w:r>
        <w:t xml:space="preserve">SE LHE É NECESSÁRIA A CONDIÇÃO DE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"Data venia", entendo ser desnecessário ao preposto a condição de empregado, segundo se extrai do art. 843, § 1º, da CLT, onde é facultado ao empregador fazer-se substituir pelo gerente ou qualquer outro preposto que tenha conhecimento do fato. - Assim, DOU PROVIMENTO ao recurso para que cassando-se a aplicação de pena de confesso retornem os autos à instância de origem a fim de que se reinicie a instrução regular. Proc. TST-RR-2.106/82, Julgado em 09-08-1983 Arquivo do Ementário Forense, TST/1.638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desnecessária ao preposto a condição de empregado, segundo se extrai do artigo 843, § 1º, da CLT, onde é facultada ao empregador fazer-se substituir pelo gerente ou qualquer outro preposto que tenha conhecimento do fato.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2026-10-16T17:25:49.219Z</dcterms:created>
  <dcterms:modified xsi:type="dcterms:W3CDTF">2026-10-16T17:25:49.219Z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