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16/04/1984</w:t>
      </w:r>
    </w:p>
    <w:p/>
    <w:p>
      <w:r>
        <w:t xml:space="preserve">REPRESENTAÇÃO PELO PRESIDENTE DE SUA ENTIDADE DE CLASSE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a demandada que o autor não estava representado na forma legal na audiência... De conformidade com o disposto no § 2º do art. 843 da CLT o empregado, em vista de moléstia devidamente comprovada, pode fazer-se representar em audiência pelo seu sindicato. Foi justamente o que ocorreu na espécie "sub judice". O atestado... comprova que desde o dia 14 de outubro de 1983 estava o autor impossibilitado para o exercício de suas atividades durante noventa (90) dias comparecendo a audiência que se realizou a 3 de novembro do mesmo ano o presidente do sindicato de sua categoria profissional. - Prevista na lei a representação do reclamante através do sindicato, não havia necessidade de outorga de poderes, como pretende a recorrente. Ademais, o patrono do autor afirmou ter o presidente do sindicato condições para prestar esclarecimentos, inexistindo, assim, o cerceamento de defesa alegado. - Rejeita-se a prefacial. Proc. TRT-8.994/83, Julgado em 17-04-1984 VENCIDOS OS JUÍZES (Relator) e HILDO A. BOFF parcialmente. Arquivo do Ementário Forense, TRT/289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 não comparecer à audiência em virtude de moléstia devidamente comprovada, pode fazer-se representar pelo presidente de sua entidade de classe, na forma do § 2º do art. 843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2026-10-16T16:16:49.929Z</dcterms:created>
  <dcterms:modified xsi:type="dcterms:W3CDTF">2026-10-16T16:16:49.929Z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