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Julgado em: </w:t>
      </w:r>
      <w:r>
        <w:t xml:space="preserve">13/03/1984</w:t>
      </w:r>
    </w:p>
    <w:p/>
    <w:p>
      <w:r>
        <w:t xml:space="preserve">EXERCÍCIO DE PODERES DE MANDO E GESTÃO — QUANDO NÃO LHE ASSISTE DIREITO ÀS MESMAS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Junta julgou procedente o pedido de horas extras pleiteado na inicial por não estar o reclamante enquadrado na regra exceptiva do art. 62, letra "c". A reclamada recorre a este Tribunal fundamentando suas razões. O cargo do reclamante era de gerente. Pela prova dos autos, conclui-se que essas funções eram exercidas em toda sua plenitude, uma vez que os poderes de mando e gestão ficaram perfeitamente comprovados. O reclamante tinha poderes de representação, podendo, ainda, suspender, admitir e demitir funcionários. Apesar de cumprir horário superior ao normal, não tem direito ao pagamento das horas superiores à jornada normal de trabalho, por estar enquadrado na regra do art. 62, letra "c", da CLT. - Procede o apelo. Proc. TRT-6091/83, Julgado em 14-03-1984 Arquivo do Ementário Forense, TRT/288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Demonstrado que o empregado tinha poderes de mando e gestão, pode ser considerado o cargo de confiança, incidindo a regra do artigo 62, letra "c",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2026-10-16T17:24:33.161Z</dcterms:created>
  <dcterms:modified xsi:type="dcterms:W3CDTF">2026-10-16T17:24:33.161Z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