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ASSOCIAÇÃO PROFISSIONAL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24/10/1983</w:t>
      </w:r>
    </w:p>
    <w:p/>
    <w:p>
      <w:r>
        <w:t xml:space="preserve">RECONTRATAÇÃO COM CLÁUSULA ASSEGURATÓRIA DO DIREITO RECÍPROCO DE RESCISÃO — FRAUDE À  LEI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...Conheço por violação dos artigos 9º, 452 e 479 da CLT. - Ocorrente a violação legal apontada, deve a indenização baseada no referido dispositivo legal, ser considerada até o fim da obra avençada no primeiro contrato, e não limitada à artificiosa contratação operada em 04-02-1980, para o término da mesma obra antes contratada, ainda que dessa feita com cláusula assecuratória do direito recíproco de rescisão. - Do contrário, despedido em 10-03-1980, ou seja, cerca de um mês depois, a Reclamada teria burlado impunemente os arts. 479, 9º e 452, "in fine", todos da CLT. - Dou, pois, provimento ao recurso nesse particular. Proc. TST-RR-6.874/82. Julgado em 25-10-1983 Arquivo do EMFOR, TST/1.630 EMFOR 428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Burla o disposto nos artigos 479 e 452, "in fine", da Consolidação das Leis do Trabalho o despedimento de empregado contratado a prazo certo e, logo em seguida, recontratado para a mesma obra, ainda que, dessa feita, com cláusula assecuratória do direito recíproco de rescisão.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2026-07-28T03:47:44.834Z</dcterms:created>
  <dcterms:modified xsi:type="dcterms:W3CDTF">2026-07-28T03:47:44.834Z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