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24/10/1983</w:t>
      </w:r>
    </w:p>
    <w:p/>
    <w:p>
      <w:r>
        <w:t xml:space="preserve">RECONTRATAÇÃO COM CLÁUSULA ASSEGURATÓRIA DO DIREITO RECÍPROCO DE RESCISÃO — FRAUDE À 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...Conheço por violação dos artigos 9º, 452 e 479 da CLT. - Ocorrente a violação legal apontada, deve a indenização baseada no referido dispositivo legal, ser considerada até o fim da obra avençada no primeiro contrato, e não limitada à artificiosa contratação operada em 04-02-1980, para o término da mesma obra antes contratada, ainda que dessa feita com cláusula assecuratória do direito recíproco de rescisão. - Do contrário, despedido em 10-03-1980, ou seja, cerca de um mês depois, a Reclamada teria burlado impunemente os arts. 479, 9º e 452, "in fine", todos da CLT. - Dou, pois, provimento ao recurso nesse particular. Proc. TST-RR-6.874/82. Julgado em 25-10-1983 Arquivo do EMFOR, TST/1.630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Burla o disposto nos artigos 479 e 452, "in fine", da Consolidação das Leis do Trabalho o despedimento de empregado contratado a prazo certo e, logo em seguida, recontratado para a mesma obra, ainda que, dessa feita, com cláusula assecuratória do direito recíproco de rescisão.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2026-10-16T16:15:48.614Z</dcterms:created>
  <dcterms:modified xsi:type="dcterms:W3CDTF">2026-10-16T16:15:48.614Z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