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08/08/1983</w:t>
      </w:r>
    </w:p>
    <w:p/>
    <w:p>
      <w:r>
        <w:t xml:space="preserve">JUIZ QUE ORDENOU A APREENSÃO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de terceiro foram opostos pelo Diário de Pernambuco S.A. nos autos da carta precatória executória extraída da reclamatória que N.G. move à Rádio Difusora São Paulo S.A. . - Tratando de embargos de terceiro e não de embargos do executado, à penhora efetuado por precatória, entendo aplicável o artigo 1.049 e não o artigo 747 do Código de Processo Civil, razão pela qual julgo improcedente o conflito, determinando a remessa dos autos ao Juízo suscitante. Proc. TST-CC-07/83, Julgado em 09-08-1983 Arquivo do EMFOR, TST/1.631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embargos de terceiro e não do executado, aplicável o artigo 1.049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2026-07-28T01:59:20.937Z</dcterms:created>
  <dcterms:modified xsi:type="dcterms:W3CDTF">2026-07-28T01:59:20.937Z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