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22/08/1983</w:t>
      </w:r>
    </w:p>
    <w:p/>
    <w:p>
      <w:r>
        <w:t xml:space="preserve">LICENÇA NÃO REMUNERADA — SE FICA O EMPREGADO À DISPOSIÇÃO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 da douta Procuradoria, DOU PROVIMENTO AO RECURSO para julgar improcedente a reclamação. O fato de o empregador complementar, assistencialmente, o valor pecuniário do auxílio-enfermidade de prazo superior a quinze (15) dias não transforma a suspensão do contrato em interrupção. As normas que implicam "plus" contratual devem ser interpretadas restritivamente, o v. acórdão regional feriu as normas constantes do art. 4º, do mesmo Estatuto, dado que, em licença por doença, o empregado não se encontra nem fictamente à disposição do empregador e o período de afastamento é legalmente considerado como de licença não remunerada. Proc. TST-RR-231/83, Julgado em 23-08-1983 Arquivo do Ementário Forense, TST/1.612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Durante o período de afastamento por doença superior a 15 dias, o empregado encontra-se em licença não remunerada (art. 476 da CLT), não estando nem fictamente à disposição do empregador (art. 4º § único, da CLT). - O fato de o empregador complementar o salário não transforma a suspensão do contrato em interrupção.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2026-10-16T16:14:23.366Z</dcterms:created>
  <dcterms:modified xsi:type="dcterms:W3CDTF">2026-10-16T16:14:23.366Z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