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CONTRIBUIÇÃO SOCIAL</w:t>
      </w:r>
    </w:p>
    <w:p>
      <w:r>
        <w:rPr>
          <w:i/>
          <w:iCs/>
          <w:color w:val="666666"/>
        </w:rPr>
        <w:t xml:space="preserve">LEI COMPLEMENTAR Nº 70/91</w:t>
      </w:r>
    </w:p>
    <w:p/>
    <w:p/>
    <w:p>
      <w:r>
        <w:t xml:space="preserve">EXISTÊNCIA DE LIDE PENDENTE AO TEMPO DA ALIENAÇÃO OU ONERAÇÃO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No mérito, restou configurada a fraude de execução, que dispensa a prova do "consilium fraudis" porque, nela, a intenção fraudulenta está "in re ipsa". - Para que a alienação ou oneração seja considerada em fraude de execução, basta que o ato gravoso tenha sido praticado no correr de demanda capaz de reduzir o devedor à insolvência (CPC, art. 593, II). - A lide pendente a que se refere a lei não é só a execução aparelhada, contemporânea da transferência, mas também as contendas que a antecederem. - Na espécie, ao tempo da alienação do terminal telefônico, o crédito tributário em execução não constituía litígio escoteiro. Havia outros, muitos outros, em andamento, como faz certo a certidão ..., todos, no conjunto, capazes de reduzir a executada à insolvência. - Mais não requer a ineficácia da alienação, com a conseqüente improcedência dos embargos de terceiro. Ac. de 15-12-1993 Arquivo do EMFOR - TJ/2.508 EMFOR 556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Para a configuração da fraude de execução basta a existência de lide pendente ao tempo da alienação ou oneração, com força suficiente para produzir a insolvência do devedor (CPC, art. 593, II). A demanda a que se refere a lei não é só a execução aparelhada, contemporânea do ato oneroso, mas também as contendas que o antecederem.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2026-06-17T14:04:08.987Z</dcterms:created>
  <dcterms:modified xsi:type="dcterms:W3CDTF">2026-06-17T14:04:08.987Z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