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22/08/1983</w:t>
      </w:r>
    </w:p>
    <w:p/>
    <w:p>
      <w:r>
        <w:t xml:space="preserve">PRINCÍPIO DA SUCUMBÊNCIA —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Jamais a sucumbência gerou honorários de advogado na Justiça do Trabalho. Nem ao tempo do CPC de 39, nem sob a égide do legislador de 73, porque as partes tem o "ius postulandi" na Justiça do Trabalho. A Lei nº 5.584/70 disciplinou o assunto: só tem jus a honorários de advogado o profissional dado ao empregado pelo sindicato, quando o patrão sucumbe. - Nego provimento. Proc. TST-RR-2.626/82, Julgado em 23-08-1983 VENCIDOS OS MINISTROS JOÃO WAGNER (relator) e FERNANDO FRANCO. Arquivo do Ementário Forense, TST/1.610 EMFOR 427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Justiça do Trabalho, o "ius postulandi" das partes impede a aplicação do princípio da sucumbência, só tendo jus a honorários de advogado o profissional dado ao empregado pelo sindicato quando o patrão sucumbe.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2026-07-28T01:58:05.309Z</dcterms:created>
  <dcterms:modified xsi:type="dcterms:W3CDTF">2026-07-28T01:58:05.309Z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