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CAUSAS PENDENTES DE JULGAMENTO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19/04/1983</w:t>
      </w:r>
    </w:p>
    <w:p/>
    <w:p>
      <w:r>
        <w:t xml:space="preserve">CONDIÇÃO RECONHECIDA — DIREITO AO MESMO INDEPENDENTEMENTE DE CERTIDÃO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entendimento do Regional é o de que nada adiantaria à reclamante apresentar a certidão pois, a reclamada não respeitou a decisão da Junta que reconhecera a condição de industriária. A recorrente, pelo visto, entendia que a reclamante era rurícola. - A decisão, ante a situação criada não configura a violação apontada e sim razoável interpretação à posição adotada pela reclamada, está evidenciado foi o de não reconhecer a condição de industriária. - Não conheço. Proc. TST-RR-924/82, Julgado em 20-04-1983 Arquivo do Ementário Forense, TST/1.562 EMFOR 421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Reconhecida a condição de empregada industriária, não ofende a lei a interpretação de que é devido o salário-família independente da apresentação de certidão.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2026-07-28T00:01:14.287Z</dcterms:created>
  <dcterms:modified xsi:type="dcterms:W3CDTF">2026-07-28T00:01:14.287Z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