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19/04/1983</w:t>
      </w:r>
    </w:p>
    <w:p/>
    <w:p>
      <w:r>
        <w:t xml:space="preserve">CONDIÇÃO RECONHECIDA — DIREITO AO MESMO INDEPENDENTEMENTE DE CERTIDÃO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do Regional é o de que nada adiantaria à reclamante apresentar a certidão pois, a reclamada não respeitou a decisão da Junta que reconhecera a condição de industriária. A recorrente, pelo visto, entendia que a reclamante era rurícola. - A decisão, ante a situação criada não configura a violação apontada e sim razoável interpretação à posição adotada pela reclamada, está evidenciado foi o de não reconhecer a condição de industriária. - Não conheço. Proc. TST-RR-924/82, Julgado em 20-04-1983 Arquivo do Ementário Forense, TST/1.562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condição de empregada industriária, não ofende a lei a interpretação de que é devido o salário-família independente da apresentação de certidão.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2026-10-26T03:42:44.968Z</dcterms:created>
  <dcterms:modified xsi:type="dcterms:W3CDTF">2026-10-26T03:42:44.968Z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