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27/04/1983</w:t>
      </w:r>
    </w:p>
    <w:p/>
    <w:p>
      <w:r>
        <w:t xml:space="preserve">SE PODE A PRIMEIRA SER INFERIOR AO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 tratando de salário misto, parte fixa e parte variável à base de comissões, não há proibição em lei para que o valor da parte fixa seja inferior ao valor do salário mínimo. - O que a legislação assegura é o salário mínimo pela soma dos dois componentes, sendo ônus do empregador complementar a diferença, para o salário mínimo regional quando o empregado não alcançar o valor do mínimo legal (artigo 78, parágrafo único, da CLT). A afirmação do acórdão revisando de que "se por qualquer motivo o empregador não conseguisse efetuar vendas a ponto de atingir o limite do mínimo regional, estaria inatingido o intuito da lei" é imenso disparate jurídico, ante os termos claros do parágrafo único do artigo 78 da CLT, "data venia". - Ante o exposto, dou provimento para excluir da condenação a diferença salarial o título de salário mínimo referente à parte fixa do salário. Proc. TST-RR-706/82, Julgado em 28-04-1983 Arquivo do Ementário Forense, TST/1.554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autoriza o salário misto, não sendo vedado que a parte fixa seja inferior ao valor do salário mínimo regional, ante os termos claros do artigo 78 e parágrafo único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2026-07-28T02:21:09.387Z</dcterms:created>
  <dcterms:modified xsi:type="dcterms:W3CDTF">2026-07-28T02:21:09.387Z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