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21/02/1983</w:t>
      </w:r>
    </w:p>
    <w:p/>
    <w:p>
      <w:r>
        <w:t xml:space="preserve">BANCÁRIO — EMISSÃO CONTRA O BANCO EMPREGADOR -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NO MÉRITO: - Na parte em que conhecido o recurso, dou provimento para excluir da condenação as verbas indenizatórias. - O Acórdão Regional esclarece que a emissão de cheque sem fundos objetivou atender a pedido formulado por colega de trabalho da Reclamante, revelando, portanto, o pleno conhecimento do Autor quanto a inexistência de saldo suficiente a cobrir o que sacado. O próprio conluio ocorrido está a demonstrar a perda de confiança indispensável à continuidade da relação jurídica, sendo licito, portanto, o motivo da ruptura do contrato de trabalho. Proc. TST-RR-234/82, Julgado em 22-02-1983 VENCIDOS OS MINISTROS FERNANDO FRANCO (Relator) e JOÃO WAGNER. Arquivo do Ementário Forense, TST/ 1.585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emissão, por bancário, de cheque sem fundos contra o próprio banco empregador, enseja o despedimento por justa causa, pois faz desaparecer a confiança indispensável à manutenção da relação empregatícia.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2026-07-28T01:35:56.836Z</dcterms:created>
  <dcterms:modified xsi:type="dcterms:W3CDTF">2026-07-28T01:35:56.836Z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