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23/06/1986</w:t>
      </w:r>
    </w:p>
    <w:p/>
    <w:p>
      <w:r>
        <w:t xml:space="preserve">REINTEGRAÇÃO — PAGAMENTO COM CORREÇÃO MONETÁRIA - APLICAÇÃO ANTERIOR À LEI 6.899/81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nobre parecerista, Dr. JOãO PAULO A. DE BARROS, assim se pronunciou a propósito do tema: "Mesmo que admitidas como fundamento do recurso as superficiais alegações da entidade recorrente, é importante considerar, no campo prescricional, que havia questão prejudicial a ser dirimida no juízo criminal, tanto que o processo no juízo civil restou sobrestado até a decisão daquela justiça. A R. Sentença do Procedimento de Conhecimento, que serviu integralmente como razões de decidir do V. Acórdão na Apelação, assinalou a propósito, verbis: "Não há cogitar, no caso, da prescrição de que trata o artigo 1º do Decreto nº 20.910/32, por sinal não alegada pelo réu. Isto porque, respondendo o autor, desde 23-7-74, à ação penal baseada no fato que, exclusivamente, motivou a sua demissão, em 16-11-71, foi absolvido por sentença que transitou em julgado em 24-6-86, e a presente ação foi distribuída em 20-9-82, dando-se a citação do réu em 25-10-82. - O recorrido, que, ao ser demitido - hoje reconhecido, injustamente - convalescia de fratura de crânio, teve obstinação permanente na defesa judicial, de seu direito, valendo-se, na condição de desassistido pela sorte, da proficiente atuação da Defensoria Pública. O Distrito Federal, data maxima venia, o que faz - por excessivo zelo de seus ilustrados Procuradores - é procrastinar um reparo material e moral que, há precisamente vinte anos, deve ao recorrido, seu servidor. - Por outro lado, o débito do Distrito Federal com o recorrido é, em sua essência, de caráter alimentar; o servidor demitido sobreviveu, sim, nestes vinte anos e ainda acompanha pessoalmente seu recurso; mas, tudo ter-lhe-ia sido muito mais ameno se não sofresse apenação disciplinar excessivamente rigorosa como concluiu a justiça. É injurídica, no plano técnico, já que não podemos fazer considerações no plano ético, a invocação da Lei nº 6.899/81, para a espécie, que se caracteriza como dívida de valor e de caráter alimentar, cuja incidência de correção monetária, historicamente, é de construção jurisprudencial bem anterior à referida lei". - Perfilho in totum com o entendimento sobredito, até porque retira-se das parcas razões do recurso seu caráter lamentavelmente protelatório. - Adoto a fundamentação do bem lançado parecer como razões de decidir, por isso que não conheço do recurso. Ac. de 01-04-1992 DJ de 11-5-1992 Arquivo do EMFOR - STJ/724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caráter alimentar e o fato de se constituir em dívida de valor fazem com que a correção monetária, na linha de vasta jurisprudência conceda-se mesmo anteriormente à vigência da Lei nº 6.899/81.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2026-10-26T02:15:21.281Z</dcterms:created>
  <dcterms:modified xsi:type="dcterms:W3CDTF">2026-10-26T02:15:21.281Z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