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SISTEMA FINANCEIRO DA HABITAÇÃO</w:t>
      </w:r>
    </w:p>
    <w:p>
      <w:r>
        <w:rPr>
          <w:i/>
          <w:iCs/>
          <w:color w:val="666666"/>
        </w:rPr>
        <w:t xml:space="preserve">PLANO DE EQUIVALÊNCIA SALARIAL</w:t>
      </w:r>
    </w:p>
    <w:p/>
    <w:p>
      <w:r>
        <w:rPr>
          <w:b/>
          <w:bCs/>
        </w:rPr>
        <w:t xml:space="preserve">Julgado em: </w:t>
      </w:r>
      <w:r>
        <w:t xml:space="preserve">15/06/1980</w:t>
      </w:r>
    </w:p>
    <w:p/>
    <w:p>
      <w:r>
        <w:t xml:space="preserve">RESCISÃO ANTECIPADA — EMPREGADO OPTANTE - DISPOSITIVO APLICÁVEL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Recurso da Reclamada com parecer em parte favorável da douta P. R., dizendo incompatível a indenização do art. 479 da CLT com a opção pelo FGTS e negando a integração das horas extras habituais na paga do repouso. Esta integração é afirmada pelo "Prejulgado 52 (*)" que se não discute e a compatibilidade entre a indenização do art. 479 da CLT e o FGTS está afirmada e disciplinada no § 3º do art. 30 do regulamento do FGTS, o que vale o provimento em parte do recurso para ajustar a condenação ao preceito legal. Proc. TRT-RO-9.331/79, Julgado em 16-06-1980 Arquivo do EMFOR, TRT/271 EMFOR 425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Na rescisão antecipada do contrato para obra certa aplica-se ao optante pelo FGTS o preceito do § 3º do art. 30 do seu regulamento.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2026-07-28T03:57:43.039Z</dcterms:created>
  <dcterms:modified xsi:type="dcterms:W3CDTF">2026-07-28T03:57:43.039Z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