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15/06/1980</w:t>
      </w:r>
    </w:p>
    <w:p/>
    <w:p>
      <w:r>
        <w:t xml:space="preserve">RESCISÃO ANTECIPADA — EMPREGADO OPTANTE - DISPOSITIVO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Recurso da Reclamada com parecer em parte favorável da douta P. R., dizendo incompatível a indenização do art. 479 da CLT com a opção pelo FGTS e negando a integração das horas extras habituais na paga do repouso. Esta integração é afirmada pelo "Prejulgado 52 (*)" que se não discute e a compatibilidade entre a indenização do art. 479 da CLT e o FGTS está afirmada e disciplinada no § 3º do art. 30 do regulamento do FGTS, o que vale o provimento em parte do recurso para ajustar a condenação ao preceito legal. Proc. TRT-RO-9.331/79, Julgado em 16-06-1980 Arquivo do EMFOR, TRT/271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rescisão antecipada do contrato para obra certa aplica-se ao optante pelo FGTS o preceito do § 3º do art. 30 do seu regulamento.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2026-10-26T02:44:21.411Z</dcterms:created>
  <dcterms:modified xsi:type="dcterms:W3CDTF">2026-10-26T02:44:21.411Z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