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16/11/1983</w:t>
      </w:r>
    </w:p>
    <w:p/>
    <w:p>
      <w:r>
        <w:t xml:space="preserve">NÃO ATENDIMENTO DAS EXIGÊNCIAS LEGAIS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mais uma vez a infração do artigo 60 da CLT. Esta Turma tem entendimento firmado no sentido de, em tal hipótese, considerar ilegal o regime compensatório, determinando a aplicação da Súmula 85 (*) do TST. Confirmo a decisão. - Dispõe o art. 465 da CLT: "O pagamento dos salários será efetuado em dia útil, no local do trabalho, dentro do horário de serviço ou imediatamente após o encerramento deste". Colhidos os depoimentos entendeu a MM. Junta em deferir ao autor o pagamento, como extras, de meia hora nos dias de pagamento mensal e adiantamento quinzenal. O dispositivo legal citado prevê que o pagamento do salário pode ser feito, também, dentro do horário do expediente. A empresa não o paga dessa forma, certamente para não sofrer prejuízos no que se refere à produção, preferindo pagar os salários de seus empregados após o expediente, Ora, nessas oportunidades o reclamante ficava a sua disposição, eis que uma ausência implicaria no não recebimento de salário. Não tinha, pois, opção. Nada mais justo que a empresa lhe pague pelo tempo que permaneceria aguardando, eis que o fazia pressionado pela sistemática adotada pela reclamada. Proc. TRT-RO-4.548/83, Julgado em 17-11-1983 VENCIDO O JUIZ OSMAR LANA Arquivo do Ementário Forense. TRT/281 (*) "O não atendimento das exigências legais para adoção do regime de compensação de horário semanal, não implica na repetição do pagamento das horas excedentes, sendo devido, apenas, o adicional respectivo." ("EMENTÁRIO FORENSE", Nº 370).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do artigo 60 da Consolidação das Leis do Trabalho, acarreta nulidade da jornada compensatória. - É considerado tempo à disposição o período em que o empregado permanece aguardando o recebimento de salário, nas hipóteses em que é sujeitado a uma espera de trinta minutos.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2026-07-28T04:00:48.550Z</dcterms:created>
  <dcterms:modified xsi:type="dcterms:W3CDTF">2026-07-28T04:00:48.550Z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