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SISTEMA FINANCEIRO DA HABITAÇÃO</w:t>
      </w:r>
    </w:p>
    <w:p>
      <w:r>
        <w:rPr>
          <w:i/>
          <w:iCs/>
          <w:color w:val="666666"/>
        </w:rPr>
        <w:t xml:space="preserve">PLANO DE EQUIVALÊNCIA SALARIAL</w:t>
      </w:r>
    </w:p>
    <w:p/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RECLAMAÇÃO TRABALHISTA CONTRA REPRESENTAÇÃO DIPLOMÁTICA — QUANDO SE FIRMA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COMPETE À JUSTIÇA FEDERAL PROCESSAR E JULGAR RECLAMAÇÃO TRABALHISTA MOVIDA CONTRA REPRESENTAÇÃO DIPLOMÁTICA DE PAÍS ESTRANGEIRO, INCLUSIVE PARA DECIDIR SOBRE A PRELIMINAR DE IMUNIDADE DE JURISDIÇÃO. Referência: - Constituição Federal, art. 125, II e III. - CC 3.999-DF (TP 15-05-80 - DJ 01-07-80). - CC 3.770-DF (TP 15-05-80 - DJ 01-07-80). - CC 4.101-RJ (1ª S. 03-12-80 - DJ 12-03-81). Primeira Seção, em 10-06-81 - DJ 17-06-81, p. 5.918. Arquivo do EMFOR, TFR/118 EMFOR 400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2026-10-26T02:52:07.702Z</dcterms:created>
  <dcterms:modified xsi:type="dcterms:W3CDTF">2026-10-26T02:52:07.702Z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