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TRT-SC</w:t>
      </w:r>
    </w:p>
    <w:p>
      <w:r>
        <w:rPr>
          <w:b/>
          <w:bCs/>
        </w:rPr>
        <w:t xml:space="preserve">Relator: </w:t>
      </w:r>
      <w:r>
        <w:t xml:space="preserve">Luiz Garcia Neto</w:t>
      </w:r>
    </w:p>
    <w:p/>
    <w:p>
      <w:r>
        <w:t xml:space="preserve">INTERVALO ENTRE AS VIAGENS — QUANDO AFASTA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considera tempo à disposição da empresa nem gera direito à paga de horas extras o período no qual permanece o motorista descansando, ainda que em alojamento da empresa, entre uma e outra viagem intermunicipal de longo curso, mesmo que superior a duas horas a duração deste intervalo. (TRT-SC: Recurso Ordinário Voluntário Adesivo n.º 6945/92, Canoinhas, Rel. Luiz Garcia Neto, in DJ n.º 8993, de 23-05-94, pág. 91). - Diante do exposto, nego provimento ao recurso do reclamante. Julgado de 15-06-2000 Arquivo do EMFOR, TRT/N 3.487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Demonstrado nos autos que os motoristas da empresa tinham liberdade para fazer o que lhes aprouvesse no intervalo entre as viagens, afasta-se o direito a horas extras, por não se considerar como tempo à disposição da reclamada.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2026-10-16T17:26:30.566Z</dcterms:created>
  <dcterms:modified xsi:type="dcterms:W3CDTF">2026-10-16T17:26:30.566Z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