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TRT-SC</w:t>
      </w:r>
    </w:p>
    <w:p>
      <w:r>
        <w:rPr>
          <w:b/>
          <w:bCs/>
        </w:rPr>
        <w:t xml:space="preserve">Relator: </w:t>
      </w:r>
      <w:r>
        <w:t xml:space="preserve">Luiz Garcia Neto</w:t>
      </w:r>
    </w:p>
    <w:p/>
    <w:p>
      <w:r>
        <w:t xml:space="preserve">INTERVALO ENTRE AS VIAGENS — QUANDO AFASTA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considera tempo à disposição da empresa nem gera direito à paga de horas extras o período no qual permanece o motorista descansando, ainda que em alojamento da empresa, entre uma e outra viagem intermunicipal de longo curso, mesmo que superior a duas horas a duração deste intervalo. (TRT-SC: Recurso Ordinário Voluntário Adesivo n.º 6945/92, Canoinhas, Rel. Luiz Garcia Neto, in DJ n.º 8993, de 23-05-94, pág. 91). - Diante do exposto, nego provimento ao recurso do reclamante. Julgado de 15-06-2000 Arquivo do EMFOR, TRT/N 3.487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nos autos que os motoristas da empresa tinham liberdade para fazer o que lhes aprouvesse no intervalo entre as viagens, afasta-se o direito a horas extras, por não se considerar como tempo à disposição da reclamada.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2026-07-28T01:58:46.800Z</dcterms:created>
  <dcterms:modified xsi:type="dcterms:W3CDTF">2026-07-28T01:58:46.800Z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