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AÇÃO RESULTANTE DE DOLO OU CULPA</w:t>
      </w:r>
    </w:p>
    <w:p/>
    <w:p/>
    <w:p>
      <w:r>
        <w:t xml:space="preserve">TRANSPORTE DE CARGAS — LOCAL DISTANTE - FALTA DE CONTROLE SOBRE A JORNADA - QUANDO IMPOSSIBILITA O SEU DEFERIMENTO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estando o empregado motorista, exercente de atividade externa, sujeito à fiscalização e ao controle de seu horário de trabalho, não faz jus ao pagamento de horas extras, à inteligência do inciso "I" do artigo 62 da Consolidação das Leis do Trabalho. (RO-V Nº 0478/92, FfLORIANÓPOLIS, rel. HELMUTH ANTON SCHAARSCHMIDT, in DJ/SC de 16-03-92, pág.43) - Ademais, o fato de não estar anotada em sua carteira de trabalho a exceção prevista não impede sua aplicação, mormente se constante a função exercida, qual seja, a de motorista, objeto do presente questionamento. - Assim, por caracterizada a exceção prevista no artigo 62, "I", da CLT, reformo a decisão de 1º grau, para excluir da condenação o pagamento de horas extras. ACÓRDÃO - 2ªT - Nº 04191/2000 - AC. DE 02-05-2000 Arquivo do EMFOR, TRT/N 3.462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falta de controle sobre a jornada de trabalho cumprida pelo motorista que executa o transporte de cargas para localidades distantes impossibilita o deferimento de horas extras em seu favor. Exegese do que dispõe a alínea "a" do art. 62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2026-07-28T03:53:44.387Z</dcterms:created>
  <dcterms:modified xsi:type="dcterms:W3CDTF">2026-07-28T03:53:44.387Z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