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JUSTIÇA DO TRABALHO</w:t>
      </w:r>
    </w:p>
    <w:p/>
    <w:p>
      <w:r>
        <w:rPr>
          <w:b/>
          <w:bCs/>
        </w:rPr>
        <w:t xml:space="preserve">Julgado em: </w:t>
      </w:r>
      <w:r>
        <w:t xml:space="preserve">31/08/1982</w:t>
      </w:r>
    </w:p>
    <w:p/>
    <w:p>
      <w:r>
        <w:t xml:space="preserve">RECLAMAÇÃO CONTRA ELA PROPOSTA — SUA POSTERIOR PRIVATIZAÇÃO -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reclamação trabalhista contra a Cia. Brasileira de Cimento Portland Perus, proposta na Justiça do Trabalho, foi por esta enviada à Justiça Federal porque a União confiscara o patrimônio da reclamada. - Por último é devolvida pela Justiça Federal à Justiça do Trabalho, porque a União, subseqüentemente, transmitiu a empresa privada o acervo confiscado. - Como se vê, ..., prometeu ela vender a um consórcio formado por duas empresas privadas o acervo que antes confiscara. Declara a cláusula 13 do contrato que o "passivo trabalhista de todo o complexo industrial, ora compromissado passa a ser de integral e exclusiva responsabilidade do promitente comprador". - Dessume-se, dessa cláusula, que a responsabilidade derivada das relações de emprego, anteriores ao confisco, durante a duração deste, e após a sua cessação, cabe ao consórcio promitente comprador, nenhuma ressalva tendo sido feita contra a União. - Por outro lado, as alterações da competência, no caso dos autos, ocorreram antes que qualquer das duas Justiças houvesse produzido julgamento de fundo, tendo-se limitado, ambas, ao tema da própria competência. - Esta circunstância dá azo a que se solucione o conflito sem o receio de sujeitar algum julgamento de fundo, produzido por uma das duas jurisdições trabalhistas, à deliberação da outra. - Refiro, de passagem, que o episódio me faz refletir sobre o acerto da orientação que vencido, adotei no Colendo Tribunal Federal de Recursos: a se sustentar mesmo na vigência do confisco de bens do Grupo Abdalla, a competência da Justiça do Trabalho, eis que a emp resa incorporada conservava sua condição jurídica anterior e, de resto, referido confisco não alcançava os bens da empresa, mas apenas o seu "patrimônio líquido", como referiam os decretos alusivos à providência do Governo Federal. - Ante o exposto, e acolhendo o douto parecer, julgo competente a Justiça do Trabalho. - É o meu voto. Julgado em 01-09-1982 Revista Trimestral de Jurisprudência. Dezembro, 1982 - Vol. 102 - Pág. 949 EMFOR 419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reclamação trabalhista contra empresa confiscada e depois privatizada, afirmada, inicialmente, a competência da Justiça Federal, é de reconhecer-se, por último, a competência da Justiça do Trabalho, se em nenhuma das suas jurisdições chegou a haver decisão outra que não as relativas à própria competência.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2026-07-28T04:25:03.232Z</dcterms:created>
  <dcterms:modified xsi:type="dcterms:W3CDTF">2026-07-28T04:25:03.232Z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