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JUSTIÇA DO TRABALHO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16/03/1983</w:t>
      </w:r>
    </w:p>
    <w:p/>
    <w:p>
      <w:r>
        <w:t xml:space="preserve">PRESSUPOSTO NECESSÁRIO — CERTIDÃO DA SENTENÇA NORMATIVA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Embora instruída a petição inicial com fotocópia de sentença normativa, não está a mesma autenticada, inexistindo elemento que comprovasse o trânsito em julgado da decisão. - Porém, o Juiz da 1ª instância deu à arte oportunidade de suprir a lacuna e o Sindicato em audiência recusou-se a cumprir a intimação judicial, sendo conseqüentemente, julgado o autor carecedor da ação, por mal instruído o processo. - Ademais, ante a controvérsia da matéria discutida, é de se ressaltar o disposto na fundamentação do acórdão embargado...: "desde que haja impugnação, em juízo do documento em que se funda a petição inicial da ação de cumprimento - a conclusão lógica é que para garantia das partes possa o Juiz determinar que a parte responsável ela prova (CLT, art. 818) demonstre a exequibilidade da sentença normativa... - Rejeito os embargos. Proc. TST-E-RR-3.120/80, Julgado em 17-03-1983 EMFOR 419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Exige o art. 872 consolidado, em seu parágrafo único, como pressuposto necessário da ação de cumprimento, a certidão da sentença normativa.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2026-07-28T04:32:50.371Z</dcterms:created>
  <dcterms:modified xsi:type="dcterms:W3CDTF">2026-07-28T04:32:50.371Z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