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JUSTIÇA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16/03/1983</w:t>
      </w:r>
    </w:p>
    <w:p/>
    <w:p>
      <w:r>
        <w:t xml:space="preserve">PRESSUPOSTO NECESSÁRIO — CERTIDÃO DA SENTENÇA NORMATIVA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Embora instruída a petição inicial com fotocópia de sentença normativa, não está a mesma autenticada, inexistindo elemento que comprovasse o trânsito em julgado da decisão. - Porém, o Juiz da 1ª instância deu à arte oportunidade de suprir a lacuna e o Sindicato em audiência recusou-se a cumprir a intimação judicial, sendo conseqüentemente, julgado o autor carecedor da ação, por mal instruído o processo. - Ademais, ante a controvérsia da matéria discutida, é de se ressaltar o disposto na fundamentação do acórdão embargado...: "desde que haja impugnação, em juízo do documento em que se funda a petição inicial da ação de cumprimento - a conclusão lógica é que para garantia das partes possa o Juiz determinar que a parte responsável ela prova (CLT, art. 818) demonstre a exequibilidade da sentença normativa... - Rejeito os embargos. Proc. TST-E-RR-3.120/80, Julgado em 17-03-1983 EMFOR 419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Exige o art. 872 consolidado, em seu parágrafo único, como pressuposto necessário da ação de cumprimento, a certidão da sentença normativa.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2026-10-16T16:35:38.961Z</dcterms:created>
  <dcterms:modified xsi:type="dcterms:W3CDTF">2026-10-16T16:35:38.961Z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