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Julgado em: </w:t>
      </w:r>
      <w:r>
        <w:t xml:space="preserve">15/02/1982</w:t>
      </w:r>
    </w:p>
    <w:p/>
    <w:p>
      <w:r>
        <w:t xml:space="preserve">INTERPRETAÇÃO DESTE — DESCABIMENTO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o acórdão recorrido a interpretar o regulamento da empresa que concedeu complementação de aposentadoria aos que se aposentassem após trinta anos de serviço efetivo. Considerou que Lei posterior, 3.807/60, concedendo aposentadoria especial aos vinte e cinco anos, vantagem de que se beneficiaram os Agravantes, não tem o condão de afetar o ato da empresa, que não se subordina à Lei mas livremente a complementa. Claro é, portanto, que a controvérsia se situa ao nível da interpretação do regulamento, quer dizer, dos efeitos da relação jurídico-trabalhista, sob a disciplina da Lei Ordinária. Não há, portanto, questão constitucional, que não foi ventilada no acórdão recorrido. - Nego provimento. Julgado em 16-02-1982 Revista Trimestral de Jurisprudência. Outubro, 1982 - Vol. 102 - Pág. 155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controvérsia trabalhista se cinge à interpretação do regulamento da empresa, em confronto com a lei ordinária, sem a oponência de questão constitucional, sequer ventilada, não tem cabimento o recurso extraordinário face ao art. 143 da Constituição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2026-07-28T06:50:05.531Z</dcterms:created>
  <dcterms:modified xsi:type="dcterms:W3CDTF">2026-07-28T06:50:05.531Z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