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SENTENÇA NORMATIVA</w:t>
      </w:r>
    </w:p>
    <w:p>
      <w:r>
        <w:rPr>
          <w:i/>
          <w:iCs/>
          <w:color w:val="666666"/>
        </w:rPr>
        <w:t xml:space="preserve">PESSOAS JUR DE DIREITO PÚBL INTERNO</w:t>
      </w:r>
    </w:p>
    <w:p/>
    <w:p>
      <w:r>
        <w:rPr>
          <w:b/>
          <w:bCs/>
        </w:rPr>
        <w:t xml:space="preserve">Recurso: </w:t>
      </w:r>
      <w:r>
        <w:t xml:space="preserve">RE 80.140</w:t>
      </w:r>
    </w:p>
    <w:p>
      <w:r>
        <w:rPr>
          <w:b/>
          <w:bCs/>
        </w:rPr>
        <w:t xml:space="preserve">Julgado em: </w:t>
      </w:r>
      <w:r>
        <w:t xml:space="preserve">18/11/1981</w:t>
      </w:r>
    </w:p>
    <w:p/>
    <w:p>
      <w:r>
        <w:t xml:space="preserve">FIXAÇÃO — OUTRAS CLÁUSULAS NULAS E INCONSTITUCIONAIS POR INVADIREM O ÂMBITO
LEGISLATIVO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reclamados se insurgem contra três pontos admitidos pela sentença normativa: a) o que estabelece o piso salarial; b) o concessivo de gratificação de 5% por qüinqüênio trabalhado; c) o que obriga a empresa a fornecer transporte gratuito ao empregado em serviço noturno. - Em relação ao primeiro, está firmada a orientação do Supremo Tribunal Federal...Trata-se, na verdade, do piso salarial, pelo qual foram estabelecidos limites mínimos de remuneração para as diversas categorias de empregados, como, por exemplo, revisor, Cr$ 4.000,00; diagramador, Cr$ 4.500,00; ilustrador, Cr$ 3.500,00; noticiarista; Cr$ 5.500,00; redator; Cr$ 7.000,00. - Em várias decisões, este Colendo Supremo Tribunal Federal tem considerado o piso salarial como inconstitucional (RREE nºs 77.973, 77.649, 79.046, 80.140, entre outros). Faz-se distinção entre sentença normativa e piso salarial. - Quando a sentença estabelece importância variável, mediante a regra de que o valor do salário não pode ser inferior ao mínimo regional, acrescido da percentagem do reajustamento, é constitucional, mas quando a sentença normativa fixa importância certa, valor absoluto, como salário-mínimo para os funcionários admitidos na vigência da sentença, a cláusula ficará viciada pela inconstitucionalidade. O RE nº 80.140 do qual foi relator o eminente Ministro BILAC PINTO, está assim ementado: "Salário profissional. Sua fixação em sentença normativa da Justiça do Trabalho. Impossibilidade, por depender de Lei". - A sentença normativa, nos termos do § 1º do art. 143 da Constituição Federal, tem de apoiar-se em Lei Ordinária prévia, pois é a Lei Ordinária que disciplina o processo de fixação ou majoração de salário pela Justiça especializada. - Sempre que a Justiça do Trabalho - ensina PONTES DE MIRANDA - edita a norma jurídica, tem de dizer qual a Lei que permitiu, na espécie (Comentários à Constituição de 1967, IV, pág. 216). - Se o caso não se encontra nas hipóteses discriminadas pela Lei, o Superior Tribunal do Trabalho exorbita de suas funções constitucionais, quando fixa novas vantagens aos empregados. A competência para resolver dissídios individuais ou coletivos não lhe dá poder legiferante. Escreveu MANOEL GONÇALVES FERREIRA FILHO: "Assinale-se, por outro lado, que a Constituição autoriza a Justiça do Trabalho a editar normas relativas ao trabalho e às condições deste apenas nos dissídios coletivos e nos casos especificados em Lei. Sem esta que enuncie as hipóteses de regulação do trabalho pela Justiça trabalhista, a competência aqui mencionada não pode ser exercida."(Comentários à Constituição Brasileira, vol. III, pág. 23). - Daí não poder a Justiça especializada também fixar adicional de trabalho - qüinqüênio por tempo de serviço - nem obrigar a empresa a fornecer transporte para seus empregados, sem que exista cláusula contratual de trabalho ou Lei que os fundamente. - ............................................................................................. - Por estes motivos, conheço do recurso e lhe dou provimento para considerar inconstitucionais as cláusulas impugnadas, isto é, as que se relacionam com o piso salarial..., a que concedeu qüinqüênio ...; e a que obrigou o transporte por parte da empresa aos empregados em serviço noturno... Julgado em 19-11-1981 Revista Trimestral de Jurisprudência. Maio, 1983 - Vol. 104 - Pág. 727 EMFOR 419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ilegal a concessão, por sentença normativa, do piso salarial, adicional de tempo de serviço e obrigatoriedade do transporte do empregado em serviço noturno.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2026-07-28T07:11:18.785Z</dcterms:created>
  <dcterms:modified xsi:type="dcterms:W3CDTF">2026-07-28T07:11:18.785Z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