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02/12/1982</w:t>
      </w:r>
    </w:p>
    <w:p/>
    <w:p>
      <w:r>
        <w:t xml:space="preserve">CONTRATO ATRAVÉS DE EMPRESA ESPECIALIZADA — INTERPRETAÇÃO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 do acórdão..., a decisão final da Justiça do Trabalho se baseou, tão-somente, na interpretação do Decreto-Lei nº 1.034, de 21-10-69, para afirmar que o vigilante não podia restar serviços permanentes ao Banco sem estar a ele diretamente vinculado. - E isso porque referido Decreto-Lei apenas autoriza o estabelecimento bancário a "contratar por intermédio de empresa especializada", nos termos do citado diploma, sem excluir a conseqüência de, assim contratado, vincular-se o empregado diretamente ao estabelecimento carecedor do serviço de vigilância. - Cuidou-se, pois, de interpretação de Lei. - Porventura errônea, tal interpretação não desatende ao princípio de legalidade, inscrito no invocado § 2º do art. 153 da Constituição, regra genérica e de ampla abrangência, que não exclui, antes pressupõe, a interpretação judicial da Lei ordinária. - Isto posto, nego provimento ao agravo regimental. Julgado em 03-12-1982 Revista Trimestral de Jurisprudência. Maio, 1983 - Vol. 104 - Pág. 711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a causa trabalhista por interpretação dada à expressão literal da Lei, é inviável contrapor-se ao acórdão a disposição genérica e de ampla abrangência do art. 153, § 2º,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2026-10-16T17:26:14.426Z</dcterms:created>
  <dcterms:modified xsi:type="dcterms:W3CDTF">2026-10-16T17:26:14.426Z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