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SENTENÇA NORMATIVA</w:t>
      </w:r>
    </w:p>
    <w:p>
      <w:r>
        <w:rPr>
          <w:i/>
          <w:iCs/>
          <w:color w:val="666666"/>
        </w:rPr>
        <w:t xml:space="preserve">PESSOAS JUR DE DIREITO PÚBL INTERNO</w:t>
      </w:r>
    </w:p>
    <w:p/>
    <w:p>
      <w:r>
        <w:rPr>
          <w:b/>
          <w:bCs/>
        </w:rPr>
        <w:t xml:space="preserve">Recurso: </w:t>
      </w:r>
      <w:r>
        <w:t xml:space="preserve">agravo de instrumento .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12/04/1983</w:t>
      </w:r>
    </w:p>
    <w:p/>
    <w:p>
      <w:r>
        <w:t xml:space="preserve">DECISÃO DE TURMA — DESCABIMENTO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agravo de instrumento é recurso comum contra decisões interlocutórias. Consequentemente, a decisão que é dada a essa espécie de recurso não resolve o mérito da causa. A teor do artigo 893, § 1º, da Consolidação das Leis do Trabalho no processo trabalhista só se admite a apreciação do merecimento, das decisões interlocutórias nos recursos de decisão definitiva. Eis porque, sendo os embargos recurso especial, que pressupõe a sucumbência, somente quando ela existe é que a parte passa a ter o direito de usá-lo. Do que decorre que não cabem embargos contra decisão interlocutória como aquela que resulta do julgamento do agravo de instrumento. Essa a razão pela qual o Colendo Supremo Tribunal Federal editou a Súmula nº 233 - que se invoca, não para fundamentar e sim apenas para exemplificar - enunciando que " ... não cabe recurso de embargos contra decisão que nega provimento a agravo ou não conhece de recurso extraordinário, ainda que por maioria de votos". É que em ambos os casos não se adentrou no mérito da causa, razão pela qual não se pode alegar divergência de arestos ou violação de lei federal sobre a matéria objeto do litígio. - Além do mais, obsta o conhecimento dos embargos o enunciado da Súmula nº 42 que diz o seguinte: "não enseja o conhecimento de revista ou de embargos, decisões superadas por iterativa, notória e atual jurisprudência do Pleno". São várias as dezenas de julgados deste Pleno, que entendem não deverem ser conhecidos os embargos interpostos contra decisão de Turma em agravo de instrumento. - Consequentemente, não conheço dos embargos porque incabíveis na espécie. Proc. TST-E-AI-860/81, Julgado em 13-04-1983 Arquivo do Ementário Forense, TST/1.548 EMFOR 420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cabem embargos contra decisão de Turma do TST em agravo de instrumento, tendo em vista o disposto no art. 893, § 1º consolidado e jurisprudência notória e atual do Pleno (Súmula 42).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2026-07-28T01:32:18.421Z</dcterms:created>
  <dcterms:modified xsi:type="dcterms:W3CDTF">2026-07-28T01:32:18.421Z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