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TRT-DF</w:t>
      </w:r>
    </w:p>
    <w:p>
      <w:r>
        <w:rPr>
          <w:b/>
          <w:bCs/>
        </w:rPr>
        <w:t xml:space="preserve">Julgado em: </w:t>
      </w:r>
      <w:r>
        <w:t xml:space="preserve">29/06/1997</w:t>
      </w:r>
    </w:p>
    <w:p/>
    <w:p>
      <w:r>
        <w:t xml:space="preserve">INDETERMINAÇÃO DO CONTRATO — PRAZO PARA O ACERTO RESCISÓRIO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requer sua absolvição no tocante à condenação em aviso prévio e multa do parágrafo 6º, do artigo 477/CLT. - No tocante ao aviso prévio, a pretendida reforma não é possível, porque o contrato de emprego celebrado entre as partes, inicialmente temporário, indeterminou-se em face do disposto na sua cláusula 4.1.: permissão à reclamada de, em sua vigência, a qualquer tempo, denunciá-lo (fls.). - Assim, se a empregadora assegurou para si tal direito, obviamente que o Direito Juslaboral o estendeu, automaticamente, também aos empregados-contratantes, porquanto o contrário configuraria renúncia que, em se tratando de pré-aviso, é intolerável, mormente se considerarmos que, por natureza, é ele um direito recíproco (artigos 487, 488, caput, CLT). Ademais, tal cláusula consubstancia condição de vigência contratual, sujeita, apenas, ao arbítrio de uma das partes, configurando a chamada condição potestativa pura, intolerável ao nosso Direito (art. 115, Código Civil). Neste sentido, veja-se a conceituação comentada de DE PLÁCIDO E SILVA: Entende-se como condição potestativa aquela em que se subordina a execução da obrigação. Conhece-se, também, sob o nome de meramente potestativa, ou puramente potestativa. (parágrafo) A lei brasileira não reconhece validade na condição puramente potestativa, desde que, por ela, se subordina a condição do contrato ou da obrigação ao arbítrio ou mero querer de uma das partes." in Vocabulário Jurídico, 8a. Ed. Rio de Janeiro. Forense, 1.984, 4v., p. 497). - Como se sabe, as cláusulas ilícitas, em se tratando de contrato de emprego, são, incontinente, substituídas pelas cláusulas legais. Sendo assim, a disposição contratual em comento foi, já no seu nascedouro, substituída pelo di reito recíproco de resilição antecipada, previsto no artigo 481, da CLT, pelo que o término contratual, provocado e antecipado, acarretou sua indeterminação, para os fins rescisórios, conforme estabelecido na indigitada norma. - Esclareço, neste passo, à reclamada, que a existência de lei específica, regedora do contrato de trabalho temporário, não obsta a aplicabilidade supletiva da CLT, por ser esta Consolidação a norma geral regedora dos contratos a prazo, gênero ao qual pertence o contrato focalizado. Aliás, a lei nova, que estabeleça disposições gerais ou especiais a par das já existentes, não revoga nem modifica a lei anterior (art. 2º, parágrafo 2º, da LICC). - Logo, há de permanecer a condenação ao título. - Quanto à multa por atraso na quitação, procede o inconformismo porque, se o artigo 481, da CLT, estabelece a indeterminação do contrato, havendo a condenação da reclamada no pagamento de aviso prévio, o mesmo critério há de ser estabelecido com relação ao prazo para acerto rescisório que, in casu, é aquele disposto na alínea a, do parágrafo 6o., do artigo 477, CLT, dez dias, contados da data da dispensa. - Assim, se denunciado o contrato aos 10.10.96 e procedido o acerto em 15.10.96, foi este tempestivo, devendo a multa em apreço ser expungida da condenação. Julgado em 30-06-1997 DJMG de 30-07-1998 Arquivo do EMFOR, TRT/N 3.522 EMFOR 631 EMENTA: - No campo do Direito do Trabalho e da responsabilidade patrimonial pelos débitos trabalhistas, não se pode promover a simples migração das normas e princípios do direito civil e comercial que regem a sucessão, manifestamente contrários ao princípio fundamental da ampla proteção aos direitos do trabalhador assalariado. Nos precisos termos dos artigos 10 e 448 da Consolidação Laboral e do "princípio da despersonalização do empregador" (segundo o qual são os bens materiais e imateriais componentes do empreendimento que asseguram a satisfação do julgado, independentemente da pessoa física ou jurídica que a esteja dirigindo ou explorando - WAGNER GIGLIO, "Direito Processual do Trabalho", 9a. ed. rev. e amp., LTr, 1995, p. 107), tanto o empregador original quanto aquele que, de qualquer forma, tenha assumido a empresa são solidariamente responsáveis pelos créditos dos empregados que atuaram no período anterior à alteração na propriedade, na titularidade ou na estrutura jurídica empresarial. A quem efetivamente suportar a condenação trabalhista restará a possibilidade de, através de ação própria na Justiça Comum, pleitear o ressarcimento que entenda devido por seu litisconsorte, sendo absolutamente ineficaz, perante as normas trabalhistas de ordem pública, qualquer ajuste das partes em sentido contrário. RESUMO DO ACÓRDÃO: - O reclamante alegou que, à luz do Plan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Indeterminando-se o contrato a termo, e não concedido o aviso prévio, o prazo para acerto rescisório é de dez dias, nos termos da alínea b, do § 6º., do artigo 477 Consolidado.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2026-10-16T16:16:34.545Z</dcterms:created>
  <dcterms:modified xsi:type="dcterms:W3CDTF">2026-10-16T16:16:34.545Z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