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Julgado em: </w:t>
      </w:r>
      <w:r>
        <w:t xml:space="preserve">13/08/1996</w:t>
      </w:r>
    </w:p>
    <w:p/>
    <w:p>
      <w:r>
        <w:t xml:space="preserve">TRABALHO PRESTADO NO SÍTIO DO PROPRIETÁRIO DA EMPRESA — SE O QUALIFICA COMO DOMÉSTICO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incontroverso nos autos que o reclamante, embora contratado pela empresa T. Ltda., sempre laborou no sítio de lazer do proprietário da reclamada, já falecido. - O trabalho do autor, neste sítio, consistia em tarefas como tratar de criações, capinar e roçar o pasto, além de cuidar de pequenas criações. - Infere-se dos autos, ainda, que a reclamada é quem fazia o pagamento do reclamante, vários deles em impressos personalizados, e que confessa ter pago ao autor vários dos abonos concedidos à categorias dos condutores de veículos de Itabira (contestação, fl.). - Com base nestes fatos, o MM. Juízo de 1º grau entendeu que o reclamante, na verdade, era qualificado como doméstico e que já havia sido beneficiado pela reclamada ao receber direitos tais como FGTS e Seguro-Desemprego, que lhe seriam indevidos. - Não perfilho o mesmo entendimento. - Ao registrar o autor como seu empregado, a reclamada, assumiu o ônus de pagar-lhe todas as verbas devidas face à legislação laboral e aos acordos coletivos. - É que prevalece, in casu, o contrato mais benéfico sobre o contrato-realidade, mormente ante a afirmação da empresa de que pretendia apenas beneficiar o obreiro, registrando-o como seu empregado. O benefício, neste caso, ganha as proporções e limites assegurados pela Lei e pelos acordos coletivos, que não podem ser seguidos apenas parcialmente a bel prazer do empregador. - Assim com base no art. 515 do CPC, passo a examinar os pedidos constantes da inicial. Julgado em 14-08-1996 DJMG de 25-01-1997 Arquivo do EMFOR, TRT/N 3.546 EMFOR 631 EMENTA: - A embriaguez, segundo o art. 482, "f", da CLT constitui justa causa para a dispensa em duas situações: quando o empregado entrega-se exageradamente à bebida, mesmo fora de serviço, ou quando se apresenta para trabalhar alcoolizado. No primeiro caso, a habitualidade constitui pressuposto para o reconhecimento da justa causa, ao passo que, no segundo, basta uma única ocorrência. O alcoolismo vem sendo considerado como doença, já tendo a OMS o incluído em 3 rubricas da classificação internacional, ou seja, psicose alcoólica, síndrome de dependência do álcool e abuso do álcool sem dependência, divergindo os estudos apenas quanto às causas que levam o indivíduo a essa dependência (cf. minucioso estudo sobre o assunto de autoria do Prof. JOÃO RÉGIS F. TEIXEIRA, intitulada Doença no mundo do Direito. Ed. Juruá, 1992). - Reconhecida a verdadeira natureza do alcoolismo, realmente não deveria o legislador penalizar, com a perda do emprego, o trabalhador que sucumbiu ao mal. O mais correto seria encamnhá-lo para tratamento, buscando sempre sua recuperação, o que, aliás, atende ao interesse da coletividade em geral. Indiscutível, portanto, que a legislação brasileira está ultrapassada neste aspecto, clamando por uma revisão, já que o alcoolismo é visto por ela exclusivamente como fato ensejador de punição, inexistindo previsão de amparo ao trabalhador acometido desse mal. Entretanto, não se pode negar o fato de que a norma legal continua em vigor. Logo, inobstante algumas manifestações da jurisprudência em sentido contrário à CLT, não se pode afastar a justa causa para a dispensa, quando a embriaguez fica comprovada em uma das formas previstas no art. 482, alínea "f" do texto consolidado, principalmente quando o comportamento do autor influiu na relação laboral. RESUMO DO ACÓRDÃO: - A reclamada assevera, na defesa, que o autor tinha o hábito de ingerir bebida alcoólica durante o horário de trabalho, fato que já lhe ensejara puniç ão anteriormente. Sustenta que no dia da dispensa encontrava-se inteiramente embriagado, sem condições de trabalhar, tendo reagido de forma agressiva quando abordado a respeito. - A embriaguez, segundo o art. 482, "f", constitui justa causa para a dispensa em duas situações: quando o empregado entrega-se exageradamente à bebida, mesmo fora de serviço, ou quando se apresenta para trabalhar alcoolizado. No primeiro caso, a habitualidade constitui pressuposto para o reconhecimento da justa causa, ao passo que, no segundo, basta uma única ocorrência. - Cumpre registrar, aqui, que a posição mantida pela legislação nacional é extremamente retrógrada, já que o alcoolismo vem sendo encarada não como conduta intencional reprovável, mas, sim, como doença. Há inúmeros estudos a este respeito, os quais abordam a questão sob o aspecto sociológico, psicológico e mesmo físico. Parte dos estudiosos deste assunto acentua a influência dos fatores sociais, ao passo que outros tem como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dar a qualificação de doméstico ao trabalhador que presta serviços no sítio do proprietário da empresa, se foi por esta contratado e por ela remunerado, inclusive, percebendo verbas típicas da relação de emprego tutelada pelo artigo 3º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2026-07-28T01:58:11.776Z</dcterms:created>
  <dcterms:modified xsi:type="dcterms:W3CDTF">2026-07-28T01:58:11.776Z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