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TRT/RO</w:t>
      </w:r>
    </w:p>
    <w:p>
      <w:r>
        <w:rPr>
          <w:b/>
          <w:bCs/>
        </w:rPr>
        <w:t xml:space="preserve">Julgado em: </w:t>
      </w:r>
      <w:r>
        <w:t xml:space="preserve">09/12/1996</w:t>
      </w:r>
    </w:p>
    <w:p/>
    <w:p>
      <w:r>
        <w:t xml:space="preserve">ART 118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documentos ... comprovam que o autor sofreu acidente do trabalho, ficando, por isso, afastado de suas atividades na empresa, pelo período de 28.02.94 a 02.05.94, posto que licenciado pelo órgão previdenciário. - A recorrente, como demonstra o documento de fl. (CAT), tinha inteira ciência do acidente e o comunicou ao INSS. - Estes fatos, por si só, autorizam o reconhecimento de que o autor faz jus à estabilidade prevista no art. 18 da Lei 8.213/91. - A recorrente, contudo, no intuito de eximir-se de suas obrigações alega, dentre outras, que a questão encontra-se pendente de decisão judicial, razão pela qual, a teor dos dispositivos constitucionais que cita, não estaria ainda obrigada a reintegrar. A alegação, todavia, perde-se no vazio à míngua de prova que o corrobore. Julgado de 12-07-1995 DJMG de 28-05-1997 Arquivo do EMFOR, TRT/N 3.556 EMFOR 631 EMENTA: - Renovando a empresa, em grau recursal, a exceção de incompetência "ex ratione loci", rejeitada em primeira instância, há de ser a alegação acolhida, porquanto as provas oral e documental lhe são amplamente favoráveis, demonstrando a prestação de serviços pelo reclamante na cidade do Rio de Janeiro/RJ. - Trata-se de hipótese de aplicação do artigo 651, "caput", da consolidação, que assevera ser competente para dirimir dissídio trabalhista a JCJ do local em que o empregado prestou serviços ao empregador, mesmo que contratado em outro local ou no estrangeiro, sendo, pois, inaplicável, in casu, a exceção prevista no parágrafo terceiro do art. 651 da CLT, porquanto como bem acentuou o douto VALENTIN CARRION, na obra "Comentários à Consolidação das Leis do Trabalho", Editora Saraiva, 19ª edição, p. 487, "a opção concedida ao empregado, entre o lugar da contratação ou de execução do trabalho (art. 651, parágrafo 3º), deve ser interpretada harmonicamente com o caput do mesmo artigo que aparentemente diz o contrário. (...) conseguintemente, acolhida a presente alegação, há de se declarar nula a sentença recorrida, e remetidos os autos para uma das MM. JCJ’s da cidade do Rio de Janeiro/RJ. RESUMO DO ACÓRDÃO: - Os documentos de fls., afetos aos contratos sociais das empresas M. e R, demonstram existir uma interligação entre ambas as reclamadas, constituindo verdadeiro, grupo econômico, previsto no artigo segundo, consolidado. Ademais, a testemunha M. (fl.), aduziu serem os mesmos os proprietários da R. e da M., sendo que veículos do estoque da primeira, na cidade do Rio de Janeiro/ RJ, são vendidos em Belo Horizonte - MG e vice-versa. Outrossim, asseverou que "quando o depoente foi admitido na R., o recte trabalhava na M. e comparecia à R. V. para resolver problemas de informática, o recte, posteriormente, foi admitido na R. V. no mesmo mês que o depoente, (...) antes do recte ser admitido pela R, o depoente o via no saguão da empr esa e o cumprimentava porque já o conhecia anteriormente, porque tinham sido colegas de trabalho na M". - Merece especial atenção a cláusula 5ª., da segunda alteração contratual (fls.), onde se infere ser a empresa R. gerida pelos sócios da M. Por outro lado, as passagens aéreas colacionadas com a vestibular (fls.), atestam que antes mesmo do autor ser contratado (sic) pela segunda ré, esta adquiriria bilhetes para o autor prestar serviço no Rio de Janeiro/RJ. Tal fato, aliás, restou devidamente confirmado pelo louvado (fl., resposta ao quesito de nº 03 c/c documentos de fls.). - Outrossim, considerando que a testemunha operária M. (fl.), e em seu depoimento asseverou que após ser transferido para a empresa R., o reclamante trabalhou exclusivamente na cidade do Rio de Janeiro, o que foi admitido pelo próprio empregado no seu depoimento pessoal de fl., in fine, entendo ser competente para dirimir a presente controvérsia, uma das JCJ’s da cidade anteriormente referida, pelo seguinte motivo: A regra geral prevista no caput do dispositivo 651, CLT, estatui que é competente a Junta de Conciliação e Julgamento da localidade em que o empregado prestar serviços ao empregador, mesmo que tenha sido contratado noutro local ou no estrangeiro. Houve apenas um contrato de trabalho, que vigorou de 07.02.94 a 01.09.95, em que o obreiro foi contratado e prestou serviços à M., tendo no decorrer do ajuste, sido transferido (e não contratado) para a sua filial no Rio de Janeiro. - Ora, in casu, não há de falar em se aplicar o estabelecido no parágrafo 3º., do art. 651 da CLT, porque tal disposição deve ser interpretada harmonicamente com o caput do mesmo artigo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o art. 118 da Lei 8.213/91, haja vista que a garantia de emprego ali inserida é específica e não se confunde nem colide com a estabilidade geral prevista no art. 7º, I, da CF/88.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2026-10-16T17:25:45.944Z</dcterms:created>
  <dcterms:modified xsi:type="dcterms:W3CDTF">2026-10-16T17:25:45.944Z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