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100.249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Néri da</w:t>
      </w:r>
    </w:p>
    <w:p>
      <w:r>
        <w:rPr>
          <w:b/>
          <w:bCs/>
        </w:rPr>
        <w:t xml:space="preserve">Julgado em: </w:t>
      </w:r>
      <w:r>
        <w:t xml:space="preserve">04/06/1996</w:t>
      </w:r>
    </w:p>
    <w:p/>
    <w:p>
      <w:r>
        <w:t xml:space="preserve">NÃO RECOLHIMENTO SOBRE VERBAS EFETIVAMENTE PAGAS — PRAZO -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É incontroverso que os reclamantes foram admitidos sob a égide da CLT. Com o advento do Regime Jurídico Único dos servidores do Município reclamado (Lei Municipal nº 810, de 31.08.91), tornaram-se estatutários. - Ajuizando a ação trabalhista em 25.09.95, pretendem ter acesso aos depósitos do FGTS, com espeque na Lei nº 8.036, de 11.05.90, que estabelece: "Art. 20. A conta vinculada do trabalhador no FGTS poderá ser movimentada nas seguintes situações: VIII - quando o trabalhador permanecer três anos ininterruptos, a partir de 1º de junho de 1990, fora do regime do FGTS, podendo o saque, neste caso, ser efetuado a partir do mês de aniversário do titular da conta". (nova redação dada pela Lei nº 8.678, de 13. 07.93). - No âmbito Federal, é indubitável que a mudança de regime jurídico extingue o contrato de trabalho. Dita a Lei nº 8162, de 08 de janeiro de 1991, no art. 7º.: "São considerados extintos, a partir de 12 de dezembro de 1990, os contratos individuais de trabalho dos servidores que passaram ao regime jurídico instituído pela Lei nº 8112, de 1990..." (grifou-se). Por analogia e coerência, o mesmo preceito deve ser aplicado na esfera municipal, entendendo-se que a implantação do regime estatutário extinguiu, in casu, o pacto laboral. - Os reclamantes não se conformam com o indeferimento da pretensão. Sustentam ser trintenária a prescrição. - A meu ver, assiste-lhes razão, devendo ser provido o recurso. - Muito se discutiu a respeito da natureza jurídica do FGTS (se contribuição tributária ou previdenciária) para efeito de fixação do prazo de prescrição, consolida ndo-se o entendimento jurisprudencial no sentido de ser trintenária a prescrição, inaplicável o prazo qüinqüenal previsto no CTN. - Com efeito, não pode o FGTS ser qualificado como tributo, uma vez tratar-se de contribuição, para um fundo feita pelo empregador, em benefício do empregado, destinado exclusivamente a este e que jamais será incorporado à receita pública, como acontece com os impostos, taxas e contribuição de melhoria. - Trata-se de direito social do trabalhador, como decidiu o Excelso STF (RE 100.249 - Rel. Min. Néri da Silveira e RE 110.728 - Rel. Min. Sydney Sanches), mas com os mesmos privilégios das contribuições previdenciárias (art. 19 da Lei nº 5107/66 c/c art. 144 da LOPS). - Esse mesmo entendimento prevaleceu também no âmbito da Justiça do Trabalho, tendo o Colendo Tribunal Superior do Trabalho editado o Enunciado 95, declarando ser trintenária a prescrição do direito de reclamar contra o não recolhimento da contribuição do FGTS. - Entendo que mesmo após a Constituição Federal de 1988 ter elencado no art. 7º o FGTS como direito do trabalhador, não há porque mudar esse entendimento. As contribuições sociais foram mantidas pela Constituição no seu art. 149 e parágrafo único, e na nova Lei do FGTS, editada após a Constituição (Lei nº 7.839 de 12.10.89, art. 21 parágrafo 4º, e depois na Lei 8.036, de 11.05.90, art. 23, parágrafo 5º), foi ressalvado expressamente o "privilégio do FGTS à prescrição trintenária". - Como se vê, trata-se de uma norma especial, que cuida de prescrição apenas naquela hipótese específica. Não há, portanto, nenhuma incompatibilidade com a norma geral sobre prescrição contida no item XXIX, do art. 7º, da Constituição da República. - Aliás, é princípio basilar de hermenêutica que a superveniência da norma geral não afeta a norma especial. E, não se configurando incompatibilidade, tem-se que o parágrafo 5º do art. 23 da Lei nº 8.036/90 foi plenamente recepcionado pela nova ordem constitucional instaurada em 05.10.88. - Nesse sentido ensinou o grande CARLOS MAXIMILIANO: "Se existe antinomia entre a regra geral e a peculiar, específica, esta, no caso particular, tem a supremacia. Preferem-se as disposições que se relacionam mais direta e especialmente com o assunto de que se trata. Em toda disposição de Direito, o gênero é derrogado pela espécie, e considera-se de importância preponderante o que respeita diretamente à espécie" (Hermenêutica e Aplicação do Direito. 14ª ed., Rio de Janeiro: Forense, 1994, p. 135). - E mais: no caso em exame, o direito aos depósitos do FGTS só surgiu três anos após à extensão contratual. Ora, a prevalecer o fundamento da sentença ter-se-ia uma situação absurda: a consumação da prescrição total antes mesmo do nascimento do direito. Seria uma flagrante ofensa ao princípio da actio nata. Essa é mais uma razão que demonstra a natureza especial da prescrição na espécie. - Acrescente-se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ter a Constituição Federal, em seu art. 7º, elencado o FGTS como direito do trabalhador, não está sujeito à prescrição estabelecida no inciso XXXIX do mesmo dispositivo, já que expressamente ressalvado o privilégio à prescrição trintenária pelo art. 23, § 5º, da Lei 8.036/90.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2026-07-28T01:56:19.306Z</dcterms:created>
  <dcterms:modified xsi:type="dcterms:W3CDTF">2026-07-28T01:56:19.306Z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