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35.059</w:t>
      </w:r>
    </w:p>
    <w:p/>
    <w:p>
      <w:r>
        <w:t xml:space="preserve">PROVENTOS — REGULAÇÃO PELA LEI VIGENTE AO TEMPO DA REUNIÃO DOS REQUISITOS NECESSÁRIOS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Ressalvada a revisão prevista em lei, os proventos da inatividade regulam-se pela lei vigente ao tempo em que o militar, ou o servidor civil, reuniu os requisitos necessários, inclusive a apresentação do requerimento, quando a inatividade for voluntária. Referência: - Const. Fed., artigo 193; - Lei nº 2.622, de 18.10.55. ERE 35.059, de 09.01.61; RMS 9.813, de 29.10.62 (D. de Just. de 25.04.63, p. 198); RMS 10.870, de 06.03.63; RMS 11.282, de 10.06.63 (D. de Just. de 10.10.63, p. 981); RMS 10.609, de 22.04.63; RMS 9.614, de 03.07.63 (D. de Just. de 29.08.63, p. 775). Aprovada em Sessão de 13-12-1963 - pág. 155 EMFOR 196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2026-09-10T22:22:44.458Z</dcterms:created>
  <dcterms:modified xsi:type="dcterms:W3CDTF">2026-09-10T22:22:44.458Z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