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CONCORRÊNCIA COM O EMPREGADOR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Leonaldo Silva</w:t>
      </w:r>
    </w:p>
    <w:p>
      <w:r>
        <w:rPr>
          <w:b/>
          <w:bCs/>
        </w:rPr>
        <w:t xml:space="preserve">Julgado em: </w:t>
      </w:r>
      <w:r>
        <w:t xml:space="preserve">21/02/1999</w:t>
      </w:r>
    </w:p>
    <w:p/>
    <w:p>
      <w:r>
        <w:t xml:space="preserve">ART. 7º, XIV DA CF —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é tempestivo ... e a representação encontra-se regular (Designação pelo Procurador Geral, fls.). CONHECIMENTO - O v. acórdão ora embargado restou assim ementado (fl.): "Faz jus o professor ao adicional constitucional atribuído ao trabalho extraordinário, sob pena de ofensa ao princípio da isonomia insculpido no art. 5º, caput, da Constituição Federal: 'todos são iguais perante a lei, sem distinção de qualquer natureza'. Recurso provido". - Recorre via embargos o reclamado (fls.), articulando ofensa do artigo 321, da CLT; inaplicabilidade do art. 7º, inciso XVI, da CF/88; bem como inocorrência de vulneração do art. 5º, caput, da Carta Magna e divergência com o aresto de fl. 169, oriundo da c. 3ª Turma desta Corte, sustentando que o artigo 321, Consolidado, prevê claramente qual a medida a ser adotada nos casos de aulas excedentes. - Trata o caso ora em apreço da pretensão obreira em receber aulas excedentes, como se extras fossem, com incidência do adicional de 50%, previsto na Carta Maior (art. 7º, XVI). - Conhecendo da questão, por divergência jurisprudencial, a c. 4ª Turma, quanto ao mérito, consignou que, "verbis" (fls.): "Não se pode negar aos Reclamantes o direito ao adicional constitucional atribuído ao trabalho extraordinário sob pena de ofensa ao art. 7°, XVI, da Constituição Federal, bem como ao princípio da isonomia insculpido no art. 5º, caput: 'todos são iguais perante a lei, sem distinção d e qualquer natureza'. Assim, o professor, ao trabalhar em horas excedentes, tem direito a recebê-las com o acréscimo previsto no art. 7º, XVI, da Constituição Federal. Neste sentido, as decisões: 'A jornada de trabalho do professor está limitada ao máximo de 4 (quatro) horas consecutivas ou 6 (seis) intercaladas. O que exceder desse limite é serviço extraordinário que deve ter remuneração superior, no mínimo em 50% (cinqüenta por cento) à do normal, sob pena de ofensa ao princípio da isonomia (RR-221992/95.6, Rel. Min. Leonaldo Silva - 5ª Turma; RR-243610/96 Rel. Min. José Luciano de Castilho Pereira - 2ª Turma)'. Ante o exposto, DOU PROVIMENTO ao Recurso para condenar a reclamada a pagar aos reclamantes, como extra, as horas trabalhadas após a jornada normal, com os reflexos pleiteados na inicial." - A alegação do demandado de que "a decisão ora atacada ignorou solenemente a regra do art. 321, da CLT, que traz previsão específica acerca da forma de pagamento das aulas excedentes que foram ministradas, pois dispõe, de maneira expressa, que o pagamento por tais aulas, nessas condições extraordinárias, seja 'NA IMPORTÂNCIA CORRESPONDENTE AO NÚMERO DE AULAS EXCEDENTES'" não procede, haja vista que o art. 321 estabelece um comportamento que, segundo nosso entendimento, nem mesmo fixa um critério para o pagamento das aulas que excedam a previsão do art. 318, mas, simplesmente, do acréscimo de aulas à grade do professor sem nenhuma referência à extrapolação dos limites do referido art. 318. - A insistência na inaplicabilidade do art. 7º, inciso XVI, da Constituição Federal ao caso em discussão, por entender o reclamado existir lei específica dispondo sobre a forma de pagamento das aulas excedentes ministradas pelos professores, melhor sorte não guarda, porquanto as aulas excedentes, ministradas por professores, deverão ser pagas com o acréscimo constitucional (7º, XVI), previsto para todos os trabalhadores, haja vista o artigo 321, Consolidado, não restringir a percepção do adicional de trabalho extraordinário, pois a intenção do legislador é que o número de aulas não ultrapasse o limite legal, motivo pelo qual também não há falar em desrespeito do princípio da isonomia. - Por outro lado, o aresto cotejado (fl.), ao asseverar que como pela exegese do art. 320 do CLT, o cálculo da remuneração do professor é fixado pelo número de aulas semanais ministradas (valor-aula), em ocorrendo aulas excedentes àquelas contratadas, não incidirá o adicional de horas extras previsto no artigo 7º, XVI, da Constituição Federal, de fato, esboça tese divergente da adotada pela c. Turma julgadora. - Conheço, pois, dos Embargos, por divergência. PROVIMENTO - Em que pesem as alegações acima transcritas, bem assim a divergência cotejada, trilha este Ministro Relator o mesmo caminho perfilhado pela c. Turma julgadora, neste sentido, aliás, já me posicionei, nos autos do E-RR-221.992/95, julgado em 22.02.99, à unanimidade pela eg. SDI, publicado no DJ em 12/03/99, nos seguintes termos: A controvérsia em epígrafe cinge-se a respeito de se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descumprimento da jornada máxima consignada pela Lei Consolidada, deve o empregador sujeitar-se ao pagamento do adicional pelo trabalho suplementar. Entendimento contrário, tornaria letra morta o contexto legal pertinente à matéria em epígrafe, porquanto a remuneração do trabalho extraordinário de forma superior ao normal virá, exatamente, desestimular a prática reiterada de exigir do professor a prestação de serviços além do limite fixado.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2026-10-16T16:11:12.745Z</dcterms:created>
  <dcterms:modified xsi:type="dcterms:W3CDTF">2026-10-16T16:11:12.745Z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