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ASSISTÊNCIA JUDICIÁRIA</w:t>
      </w:r>
    </w:p>
    <w:p>
      <w:r>
        <w:rPr>
          <w:i/>
          <w:iCs/>
          <w:color w:val="666666"/>
        </w:rPr>
        <w:t xml:space="preserve">HONORÁRIOS DE ADVOGADO E CUSTAS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DEPENDÊNCIA DE LEI ORDINÁRIA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pagamento do aviso prévio proporcional, com base no tempo de serviço previsto no artigo 7º, XXI, da Constituição Federal, depende de lei ordinária que determine qual o critério para fixação da proporcionalidade. Referido artigo não é auto-aplicável. - Dou provimento ao recurso para limitar a condenação ao período de 30 dias, excluindo-se, conseqüentemente, o aviso prévio proporcional ao tempo de serviço. Ac. 4ªT - 4.357/96, de (omisso) DJ de 09-08-1996 Arquivo do EMFOR, TST/N 3.621 EMFOR 631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pagamento do aviso prévio proporcional, com base no tempo de serviço previsto no artigo 7º, XXI, da Constituição Federal, depende de lei ordinária que determine qual o critério para fixação da proporcionalidade.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2026-10-26T02:47:57.000Z</dcterms:created>
  <dcterms:modified xsi:type="dcterms:W3CDTF">2026-10-26T02:47:57.000Z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