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27/11/1984</w:t>
      </w:r>
    </w:p>
    <w:p/>
    <w:p>
      <w:r>
        <w:t xml:space="preserve">INSTITUIÇÃO POR NORMA ESTADUAL — QUANDO É INCONSTITUCIONAL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Nas suas informações, a Assembléia Legislativa paranaense explica a Emenda em debate, asseverando que a mesma . « ... não mudou o regime de aposentadoria voluntária por tempo de serviço na sua essência. Apenas o reduziu, reduzindo concomitantemente o respectivo provento ou sua expressão financeira. Em outras palavras, inconstitucional seria a emenda nº 21 se a proporcionalidade da remuneração não estivesse vinculada ao tempo de serviço cumprido pelo servidor que eventualmente optas e pela aposentadoria nesses termos. De sorte que o servidor com quinze anos ou mais de serviço público obterá ao aposentar-se voluntariamente, os proventos equivalentes ao direito que vem adquirindo, dia a dia, desde a investidura no serviço público.» (...). - Sem embargo, tem razão o Governador quando vê nessa Emenda à Carta local uma afronta simultânea aos artigos 13 V, 101, 103 e 108 da Constituição da República. - A margem do modelo expresso no art. 101 - com ressalva remissiva ao art. 165 - XX, tocante ao magistério - o constituinte paranaense estabeleceu nova modalidade de aposentação por tempo de serviço. A proporcionalidade dos proventos não permite entender, em absoluto, que nos encontremos em presença de mera flexão, de índole quantitativa, da regra geral dos trinta e cinco anos de serviço, cujo substrato qualitativo restaria intangido sem que se pudesse afirmar, dessarte, a tese da inconstitucionalidade. - PONTES DE MIRANDA, a propósito, - tão singelo quanto categórico ao ensinar: «A Constituição somente conhece quatro casos de aposentadoria: a) por invalidez; b) aos setenta anos de idade; c) a pedido do funcionário público, se conta trinta e cinco anos de serviço; d) se a lei dim inuiu, atendendo à natureza especial do serviço, o limite de setenta anos. Não há outros casos de aposentadoria. » (PONTES, Comentários ...; São Paulo, RT, 1979, pág. 508). - A Emenda em exame não tem, pois, como prevalecer contaminada que se encontra por inconstitucionalidade material e formal - decorrente, esta última, da iniciativa exclusiva de que dispõe o Presidente da República para indicar exceções ao regime geral da aposentadoria, em projeto da lei complementar, nos exatos termos do art. 108 da Carta. - Julgo procedente a representação, para declarar inconstitucional a Emenda nº 21 à Constituição do Estado do Paraná, promulgada pela Assembléia Legislativa em 5 de dezembro de 1983. Julgado em 28-11-1984 Revista Trimestral de Jurisprudência . Setembro, 1985 - Vol. 113 - Pág. 1.001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inconstitucional, à vista dos artigos 13-V 101, 103 e 108 da Carta da República, a norma estadual que instituiu a aposentadoria voluntária precoce, por tempo de serviço, com proventos proporcionais.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2026-10-26T02:00:05.578Z</dcterms:created>
  <dcterms:modified xsi:type="dcterms:W3CDTF">2026-10-26T02:00:05.578Z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