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106.597</w:t>
      </w:r>
    </w:p>
    <w:p/>
    <w:p>
      <w:r>
        <w:t xml:space="preserve">FÉRIAS NÃO GOZADAS — CÔMPUTO EM DOBRO - SE OFENDE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impugnada não ventilou os arts. 6º e 15 da Constituição, mas desta se encontra prequestionado o art. 165, XX, cujo teor é útil recordar: "Art. 165 - A Constituição assegura aos trabalhadores os seguintes direitos, além de outros que, nos termos da lei, visem à melhoria de sua condição social: - XX - a aposentadoria para o professor após 30 (trinta) anos e, para a professora, após 25 (vinte e cinco) anos de efetivo exercício em funções de magistério, com salário integral". - Para a Municipalidade de São Paulo, ora Recorrente, a cláusula constitucional "efetivo exercício em funções de magistério" está a impedir a contagem, em dobro, das férias não gozadas, para o fim de aposentadoria especial, prevista no dispositivo acima transcrito. -...................................................................................................... - ... Entre as espécies de afastamento exemplificadas no voto do Eminente Desembargador GALENO LACERDA, a que então me referi, incluía-se o decorrente da concessão da chamada "licença prêmio", equivalente, à "licença especial" prevista no Estatuto dos Funcionários da União (Lei nº 1.711/52). - Penso que essa espécie de afastamento, como também o motivado pelas férias, não interrompem, um e outro, o tempo de serviço exigido pela norma constitucional em causa. - Julgo igualmente, que o tempo em dobro, correspondente a períodos são gozados dessas férias ou licenças especiais, desde que computável para todos os efeitos para lei local (como sucede no caso dos autos), não desmerece o reconhecimento do direito outorgado pela Constituição, no seu art. 165, XX. - Esses períodos são mera projeção do tempo de serviço prestado e m funções de magistério e, podem, por isso, participar, nos termos da lei, da mesma qualificação e dos privilégios a ele inerentes. - O escopo da Constituição, no inserir a restrição a que se apega a Recorrente ("efetivo exercício em funções de magistério"), foi de evitar o aproveitamento ou adição do tempo de desempenho em funções alheias ao professorado como se esclareceu no precedente citado (RE 106.597). Não o de coibir a contagem do próprio tempo de serviço de magistério, com a valorização que legitimamente lhe confere a legislação aplicável. - Sem considerar contrariado, pelo acórdão, o art. 165, XX, da Constituição, não conheço do Recurso Extraordinário. Ac. de 30-10-1987 Revista Trimestral de Jurisprudência - Vol. 123 - Março 1988 - Pág. 1.245.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o disposto no art. 165, XX, da Constituição, o cômputo em dobro, para a aposentadoria especial, de férias não gozadas, de acordo com os efeitos previstos na legislação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2026-09-10T22:09:45.280Z</dcterms:created>
  <dcterms:modified xsi:type="dcterms:W3CDTF">2026-09-10T22:09:45.280Z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