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INTERPOSIÇÃO NA VARA DE ORIGEM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12/04/1982</w:t>
      </w:r>
    </w:p>
    <w:p/>
    <w:p>
      <w:r>
        <w:t xml:space="preserve">QUANTITATIVO MENSAL QUE NÃO VARIA EM FUNÇÃO DA FREQUÊNCIA — QUANDO SE CONSIDERA JÁ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- O fundamento do acórdão regional é de que, em se tratando de parcela percentual sobre o depósito líquido mensal existente no estabelecimento, paga também mensalmente, nela se compreende a remuneração dos dias de repouso. Os paradigmas de divergência deferindo a pretendida integração, autorizam o conhecimento (fls...). - Esclarece o v. acórdão recorrido que a parcela controvertida é paga sistematicamente, calculada sobre os depósitos efetivados no estabelecimento (não particularmente decorrentes da atividade individual do empregado), mensalmente. A contestação oferece, também, elemento de convencimento, ao dizer que o "DPL" é pago aos caixas independentemente dos dias trabalhados e está vinculado ao lucro obtido pela empresa como um todo... - Tenho, pois, que tal gratificação é já abrangente dos dias em que não há trabalho, remunerados ou não. - Nego provimento. Proc. TST-RR-195/82, Julgado em 13-04-1982 Arquivo do Ementário Forense, TST/1.517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Importância paga em quantitativo mensal e que não varia em função da frequência do empregado, remunera também os descansos semanais, sendo indevida a repetição do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2026-10-26T05:00:43.232Z</dcterms:created>
  <dcterms:modified xsi:type="dcterms:W3CDTF">2026-10-26T05:00:43.232Z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