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10/05/1982</w:t>
      </w:r>
    </w:p>
    <w:p/>
    <w:p>
      <w:r>
        <w:t xml:space="preserve">INDÚSTRIA EXTRATIVA — CLASSIFICAÇÃO COM BASE NA CATEGORIA PATRONAL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regional, porque a reclamada está enquadrada no grupo de Indústrias Extrativas, com recolhimento da contribuição sindical à respectiva entidade sindical de categoria industrial, aplicou aos reclamantes recorrentes a lei do FGTS e prescrição bienal (art. II CLT). - É meu entendimento que a recorrida é empresa enquadrada no âmbito industrial e, como tal, seus empregados estão enquadrados na correspondente categoria profissional, não sendo rurícolas. Proc. TST-RR-4.017/81, Julgado em 11-05-1982 VENCIDOS OS MINISTROS JOÃO WAGNER (RELATOR) E COQUEIJO COSTA (REVISOR) Arquivo do Ementário Forense TST/1.528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exercendo atividade de natureza rural, o empregado de empresa exploradora do ramo industrial ou comercial, classifica-se com base na categoria patronal.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2026-10-26T02:37:08.387Z</dcterms:created>
  <dcterms:modified xsi:type="dcterms:W3CDTF">2026-10-26T02:37:08.387Z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