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30/03/1982</w:t>
      </w:r>
    </w:p>
    <w:p/>
    <w:p>
      <w:r>
        <w:t xml:space="preserve">CONFERENTE, SUBCHEFE E CHEFE DE SEÇÃO — CARGOS DE CONFIANÇA - CRITÉRIO DE MERECIMENTO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Reformando decisão do 1º TRT que entendeu ser o acesso ao cargo de Conferente, no Banco do Brasil, feito por promoção, mediante critério exclusivo de merecimento, concluiu a eg. 2ª Turma desta Corte em conhecer e dar provimento à revista dos reclamantes porque o cargo de conferente de banco não pode ser considerado de confiança sendo sua promoção, apenas por merecimento, violência aos §§ 2º e 3º do art. 461 da CLT. DO VOTO - ... Coerente com meus pronunciamentos anteriores, entendo que os embargos merecem acolhimentos. Isto porque nada impede que à carreira de escriturário, após seu termo final, seja acrescida de cargos isolados que o empregador entende de sua confiança e cujo provimento ocorre apenas pelo critério de merecimento, como os de Conferente, Subchefe e Chefe de Seção e constantes do quadro da empresa, aprovado pela autoridade competente. - Assim, se o provimento a esses cargos isolados, segundo o critério adotado no regulamento do Banco, é apenas subjetivo, porque de confiança, nada impede que alguns servidores mais antigos sejam preteridos em função de outros, subjetivamente mais capazes. - Acolho os embargos para julgar improcedente a ação. VENCIDOS OS MINISTROS ALVES DE ALMEIDA E JOÃO WAGNER Proc. TST-E-RR-2.375/79, Julgado em 31-03-1982 Arquivo do Ementário Forense, TST/1.532 EMFOR 418 EMENTA: - O sistema de trabalho de 12 x 36 horas apresenta diversas singularidades, não podendo ser enquadrado nos moldes tradicionais, o que afasta a possibilidade de intervalo intrajornada de uma hora. O fato de o autor não se ausentar do local de trabalho para efetuar as refeições e o lanche diário não significa que ele não goze de um período de descanso e permaneça trabalhando durante 12 horas de forma ininterrupta. - O intervalo intrajornada é destinado ao descanso e alimentação do obreiro, mas não há preceito legal determinando que seja gozado obrigatoriamente fora do local de trabalho. No mesmo norte segue o intervalo de 15 minutos destinado ao lanche. (Ementa trecho do acórdão) RESUMO DO ACÓRDÃO: - O MM. Juízo de primeiro grau deferiu ao autor o pagamento de uma hora extra diária decorrente da não-concessão do intervalo intrajornada, considerando-se o período imprescrito da contratualidade até fevereiro de 1996, bem como de 15 minutos diários decorrentes da não-concessão do intervalo para lanche previsto nas convenções coletivas da categoria a partir de 1º-02-94, ao fundamento de que a falta de juntada dos cartões-ponto pela ré acarreta a inversão do ônus da prova e de que as testemunhas do autor foram categóricas em afirmar que as refeições eram realizadas no próprio local de trabalho. - Contra essa decisão rebela-se a reclamada, aduzindo que o MM. Juízo de primeiro grau proferiu decisão "ultra petita", porquanto extrapolou o pleito exordial. Sustenta que, ainda que a empresa não concedesse a jornada intervalar, não haveria afronta à lei, porquanto o autor laborava em locais cobertos em que poderia alimentar-se no momento que quisesse. Alega que a jornada intervalar está inserida no regime compensatório usufruído pelo autor. Assenta, ainda, que não agiu com acerto o MM. Juízo de primeiro grau ao aplicar as cominações de que trata o Enunciado nº 338 do c. TST, porquanto os cartões-ponto não continham marcação da jo rnada intervalar. Aduz que a prova testemunhal não é suficiente a amparar a condenação. - Sucessivamente requer que a condenação seja limitada à edição da Lei nº 8.923/94 e, ainda, ao pagamento do adicional de 50%, porquanto a hora trabalhada já se encontra quitada. - Merece reforma a respeitável decisão. - Considero que o sistema de trabalho de 12 x 36 horas apresenta diversas singularidades, não podendo ser enquadrado nos moldes tradicionais, o que afasta a possibilidade de intervalo intrajornada de uma hora. O fato de o autor não se ausentar do local de trabalho para efetuar as refeições e o lanche diário não significa que ele não goze de um período de descanso e permaneça trabalhando durante 12 horas de forma ininterrupta - O intervalo intrajornada é destinado ao descanso e alimentação do obreiro, mas não há preceito legal determinando que seja gozado obrigatoriamente fora do local de trabalho. No mesmo norte segue o intervalo de 15 minutos destinado ao lanche. - Ante este posicionamento, torna-se despicienda qualquer discussão acerca das razões recursais restantes trazidas pela reclamada. - Entretanto, este não foi o entendimento da douta maioria que, ao contrário do esposado, cons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promoções aos cargos isolados de Conferente, Subchefe e Chefe de Seção, no Banco do Brasil, acrescidos a seu quadro de carreira e porque de confiança, podem ser efetuadas apenas pelo critério de merecimento.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2026-10-16T16:15:49.799Z</dcterms:created>
  <dcterms:modified xsi:type="dcterms:W3CDTF">2026-10-16T16:15:49.799Z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