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22/03/1982</w:t>
      </w:r>
    </w:p>
    <w:p/>
    <w:p>
      <w:r>
        <w:t xml:space="preserve">PERDA DA GRATIFICAÇÃO — SE OFENDE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tão somente pela divergência jurisprudencial, porque o acórdão regional é silente quanto ao exercício, desde o inicio da contratação, das funções relativas ao cargo no qual estava colada a gratificação. Ao contrário consigna ter ocorrido descomissionamento. NO MÉRITO: - Conforme lançado acima, não há no acórdão atacado menção a aspecto que seria suficiente ao acolhimento da pretensão do Recorrente - admissão para a função gratificada. Assim, prevalente transparece o ilação de mera observância do preceituado no artigo 450, da Consolidação das Leis do Trabalho. Proc. TST-RR-3.503/80, Julgado em 23-03-1982 VENCIDO O MINISTRO PRATES DE MACEDO (Relator), Arquivo do Ementário Forense, TST/1.496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preceito lançado com o artigo 450, da Consolidação das Leis do Trabalho. - Ocorrendo o descomissionamento, impossível é o empregado ver compelida a empresa a continuidade do pagamento da gratificação.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2026-07-28T01:24:56.316Z</dcterms:created>
  <dcterms:modified xsi:type="dcterms:W3CDTF">2026-07-28T01:24:56.316Z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