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Julgado em: </w:t>
      </w:r>
      <w:r>
        <w:t xml:space="preserve">18/10/1982</w:t>
      </w:r>
    </w:p>
    <w:p/>
    <w:p>
      <w:r>
        <w:t xml:space="preserve">DIREITO A ACIONAR DIRETAMENTE 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 a sentença de primeira instância, na qual se decretou a procedência do pedido formulado pela viúva do ex-empregado a reclamada, ora recorrente com vistas à comprovação e à liberação dos depósitos do Fundo de Garantia. A autora da presente ação era casada com o trabalhador, sendo, por isso, nos termos da Lei, sua dependente. O art. 21 da Lei nº 5.107, de 13 de setembro de 1966, autoriza o próprio empregado ou seus dependentes, na hipótese de falecimento daquele, a acionar diretamente a empresa por intermédio de Justiça do Trabalho, para compeli-la a efetuar o depósito e à liberação das importâncias devidas ao FGTS. A decisão da instância "a quo" está de acordo com o ordenamento positivo. Confirma-se. Proc. TRT-RO-3.032/82, Julgado em 19-10-1982 Arquivo do Ementário Forense. TRT/206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viúva do empregado injustamente dispensado acionar diretamente a empresa por intermédio da Justiça do Trabalho, para compeli-la a efetuar o depósito e à liberação das importâncias devidas à conta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2026-10-16T16:11:53.181Z</dcterms:created>
  <dcterms:modified xsi:type="dcterms:W3CDTF">2026-10-16T16:11:53.181Z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