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Julgado em: </w:t>
      </w:r>
      <w:r>
        <w:t xml:space="preserve">18/10/1982</w:t>
      </w:r>
    </w:p>
    <w:p/>
    <w:p>
      <w:r>
        <w:t xml:space="preserve">REGIME DE SOBREAVISO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a autora receber como extras a totalidade das horas em que estava de sobreaviso, mediante plantões com o BIP. - Indubitavelmente a chamada, gratificação de função não pagava as horas de sobreaviso, nem representava exercício de cargo de confiança, remunerava, apenas, a simples chefia de setor, como bem frisou o julgador de primeiro grau. - Assim, não houve qualquer contraprestação dos serviços de sobreaviso, estando correta a orientação do Juízo de que as horas de sobreaviso devem ser remuneradas à razão de 1/3 do salário normal (salário fixo mais gratificações ajustadas e adicional de insalubridade), pela aplicação por analogia, do art. 244. § 2º, do diploma consolidado. Proc. TRT-RO-3.798/82, Julgado em 19-10-1982 Arquivo do Ementário Forense. TRT/205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que usa o aparelho BIP considera-se como de sobreaviso, aplicando-se por analogia o disposto no art. 244, § 2º,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2026-07-28T01:30:43.621Z</dcterms:created>
  <dcterms:modified xsi:type="dcterms:W3CDTF">2026-07-28T01:30:43.621Z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