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92.699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02/12/1981</w:t>
      </w:r>
    </w:p>
    <w:p/>
    <w:p>
      <w:r>
        <w:t xml:space="preserve">DECISÃO RESGUARDADA PELO SUPREMO TRIBUNAL FEDERAL — COMPETÊNCIA DO TRIBUNAL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Plenário deu provimento ao RE nº 92.699, vindo do Tribunal Superior do Trabalho, em acórdão unânime que tornou a seguinte ementa: "Decisão transitada em julgado. Mandado de Segurança. Ofensa à coisa julgada (art. 153, § 3º, da Constituição Federal). Insubsistente, por ofensa ao art. 153, § 3º da Constituição Federal, é a decisão, em mandado de segurança, desconstitutiva de decisão trânsita em julgado, inocorrentes os pressupostos para tanto, Recurso extraordinário provido para cassar a segurança." - Em razão desse julgado, foi estabelecido o processo de execução a partir do acórdão do Tribunal Regional do Trabalho que restou resguardado da anulação com que o fulminara a decisão do Tribunal Superior do Trabalho, cassada por esta Corte. - Esse quadro processual está claramente delimitado nos despachos proferidos pelo Juízo da Execução, documentados pelo próprio reclamante, (...), onde se diz: "Nesta execução cumpre, antes de tudo, pesquisar e obedecer o alcance e a diretriz do recente decisório do Excelso STF, que imprime novos rumos à controvérsia. O que faz esse decisório ao cassar a segurança antes concedida às executadas é restabelecer ou tornar válida a determinação do Egrégio Tribunal Regional no sentido da expedição de mandado de pagamento em favor do exeqüente das quantias que menciona (...), pois repõe a orientação do AP-TRT- 44/77 que antes "caíra no vazio", para o fim de "fazê-la prevalecer". - Ora, o que o reclamante visa explicitamente assegurar é a "marcha regular da execução", considerando como tal, o evitamento de incidentes que têm surgido no seu curso, tais como, nomeadamente, a remessa dos autos à contadoria, a recusa de cumprimento da ordem de pagamento pelo fiador ou a interposição de recurso. - Entretanto, os incidentes da execução, mesmo que se extremem em atos atentatórios à dignidade da Justiça, quais os contemplados nos arts. 599 e 600 do Código de Processo Civil, se subsumem na competência do Juízo trabalhista. E nenhuma decisão se aponta, nesse quadro que tenha posto em causa a autoridade da decisão desta Corte, tomada no acórdão referido. - Pelo exposto, invocado ademais os doutos fundamentos do parecer da Procuradoria-Geral da República, que adoto como razão de decidir julgo improcedente a reclamação. Julgado em 03-12-1981 Revista Trimestral de Jurisprudência. Agosto, 1982 - Vol. 101 - Pág. 443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incidentes da execução, no curso do cumprimento de decisão cuja integridade resultou resguardada por acórdão do STF não implicam inobservância à autoridade do julgado da Corte Suprema nem afetam a sua competência, compreendidos que estão ao nível do Juízo da execução trabalhista.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2026-10-16T16:10:40.285Z</dcterms:created>
  <dcterms:modified xsi:type="dcterms:W3CDTF">2026-10-16T16:10:40.285Z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