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08/02/1982</w:t>
      </w:r>
    </w:p>
    <w:p/>
    <w:p>
      <w:r>
        <w:t xml:space="preserve">SALÁRIOS PAGOS POR FORÇA DE CONDENAÇÃO JUDICIAL — SE A ELE ESTÁ AUTORIZADO 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entendo que a melhor tese é a do acórdão paradigma. Se o pagamento salarial resulta da decisão, o desconto das contribuições à Previdência Social se fará ao ensejo do cumprimento da sentença proferida. - Esse argumento cresce, no caso dos autos por se tratar de ação contra Massa Falida, que enfrenta, como é notório, os percalços da ação falimentar. - Dou provimento ao recurso para autorizar o desconto das contribuições previdenciais relativas às parcelas resultantes da condenação imposta ao empregador neste processo. Proc. TST-RR-3.501, julgado em 09-02-1982 Arquivo do Ementário Forense, TST/1.498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contribuições previdenciárias podem ser descontadas, pelo empregador, dos salários dos empregados pagos por força de condenação judicial, no ato de cumprimento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2026-10-16T16:10:52.054Z</dcterms:created>
  <dcterms:modified xsi:type="dcterms:W3CDTF">2026-10-16T16:10:52.054Z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