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16/05/1982</w:t>
      </w:r>
    </w:p>
    <w:p/>
    <w:p>
      <w:r>
        <w:t xml:space="preserve">OPÇÃO PELO REGIME DA CLT — SE LHE ASSISTE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 com as Súmulas 121 e 105 (**). - Trata-se de reclamação formulada por antigo funcionário estatutário, que, após optar pelo regime da CLT, persegue a cumulação de benefícios de regime anterior, do qual se retirou. - Na forma da Jurisprudência predominante, contida nas referidas Sumulas 121 e 105, improcede a pretensão do reclamante, como acertadamente concluiu a sentença que ora restabeleço. - Assim, DOU PROVIMENTO AO RECURSO para restabelecer a r. sentença .., por seus indestrutíveis fundamentos. Prec. TST - RR - 2.762/81. Julgado em 17-05-1982 Arquivo do Ementário Forense, TST/1.461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percepção da gratificação de produtividade na forma do regime estatutário, o servidor de ex-autarquia administrativa de porto que opta pelo regime jurídico da Consolidação das Leis do Trabalho. - O empregado estatutário que opta pelo regime celetista, como o congelamento dos quinquênios em seus valores à época, não tem direito ao reajuste posterior dos seus níveis.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2026-07-28T01:32:41.741Z</dcterms:created>
  <dcterms:modified xsi:type="dcterms:W3CDTF">2026-07-28T01:32:41.741Z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