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05/04/1982</w:t>
      </w:r>
    </w:p>
    <w:p/>
    <w:p>
      <w:r>
        <w:t xml:space="preserve">OPÇÃO PELO REGIME CELETISTA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(...). - No caso, o salário-família é direito do funcionário público, apoiado na Lei 1.711. Ao optar por novo regime, a ele se subordinou, integralmente, porque a Lei 6.184/74 só autorizou o cômputo "para o gozo dos direitos assegurados na Legislação Trabalhista e da Previdência Social, inclusive para o efeitos da carência, o tempo de serviço prestado anteriormente à administração pública" (art. 2º). - Consequentemente, nego provimento. Proc. TST - RR 2.768/81. Julgado em 06-04-1982 Arquivo do Ementário Forense, TST/1.463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opta pela CLT, desvinculado do regime estatutário, não tem direito mais direito ao salário-família que vinha sendo percebido, submetido que fica por aquele que é próprio da sua nova condição.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2026-07-28T04:24:57.850Z</dcterms:created>
  <dcterms:modified xsi:type="dcterms:W3CDTF">2026-07-28T04:24:57.850Z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