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NÉLSON TAPAJÓS</w:t>
      </w:r>
    </w:p>
    <w:p>
      <w:r>
        <w:rPr>
          <w:b/>
          <w:bCs/>
        </w:rPr>
        <w:t xml:space="preserve">Julgado em: </w:t>
      </w:r>
      <w:r>
        <w:t xml:space="preserve">22/08/1982</w:t>
      </w:r>
    </w:p>
    <w:p/>
    <w:p>
      <w:r>
        <w:t xml:space="preserve">PARCELAS ABRANGIDAS POR ESTA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-... Com relação a prescrição trintenária do FGTS e não vintenária como pretende o recorrente, assistir-lhe-ia razão, não tivesse a Lei n. 5.107/66 estabelecido em seu art, 2º. que: "... a contribuição do FGTS corresponde a 8% da remuneração paga no mês anterior, a cada emprego". Não se refere a valor devido, mas a importância efetivamente recebida pelo obreiro. Se, por inépcia deste prescreveu seu direito de reclamar parcelas remuneratórias, não há pagamento e, portanto, não se pode falar em incidências porque não é o direito ao salário que cria o direito ao FGTS, mas o efetivo pagamento daquela parcela. E a lei é clara e não presta a interpretações. Ao se estabelecer a prescrição trintenária das contribuições do FGTS se teve em mira aquelas devidas e não recolhidas oportunamente. No caso, não estão em pauta recolhimentos não efetivados, e sim pagamentos de parcelas salariais não satisfeitas, o que leva a parcela devida a título de FGTS à posição de acessória que só existe em função da principal que é o pagamento do salário. - Negam provimento ao recurso. Proc. TRT - RO - 694/82, Julgado em 23-08-1982 Arquivo de Ementário Forense, TRT/181 EMFOR 408 EMENTA: - "A habitualidade do pagamento de gratificação por função não gera direito à sua percepção quando o empregado reverte ao cargo efetivo deixando de exercê-la" consoante a regra inscrita no parágrafo único do art. 468 da CLT. RESUMO DO ACÓRDÃO: - Com o douto Procurador, Dr. ARMANDO DE BRITO, "cargo em comissão é de confiança imediata do empregador e, ainda que exercendo-o o empregado, por longos anos, no caso, 12 anos, não se pode, a pretexto de garantir um discutível direito seu, ignorar o direito maior do empregador de nomear e destituir servidores de seus cargos de chefias. Não há estabilidade nos cargos de confiança e nem poderá haver, pois, isto desnaturaria o próprio cerne da relação empregado-empregador, retirando deste o poder de comando." - Por outro lado, a teor do parágrafo único do art. 468 da CLT, no caso, a intangibilidade do salário não é assegurada, não se configurando alteração contratual ilícita a suspensão da gratificação percebida. - Ante o exposto, nego provimento ao recurso Proc. TST - RR - 1.854/81, Julgado em 02-03-1982 VENCIDOS OS MINISTROS ALVES DE ALMEIDA (Revisor) E RESENDE PUECH Arquivo do Ementário Forense, TST/1.469 EMFOR 408 EMENTA: - A quebra de caixa tem natureza salarial e não só indenizatória - Se não houver o que indenizar, incorpora-se ao salário do empregado, independentemente de comprovação. RESUMO DO ACÓRDÃO: - O dissídio possui disposição em que se assegura que as cláusulas econômicas serão reajustadas, entre elas a quebra de caixa (...). Assim, não há como fugir ao reajustamento semestral da Lei 6.708, porque salário. Não é o caso de aplicação do art. 10, da Lei 6.708, e a jurisprudência do Pleno do TST, em dissídios, consolidou a tese de que é legítimo o reajustamento. A única questão que permite discussões é se a Justiça do Trabalho é competente ou não para concedê-la. Não é o caso porém. Preexistente é, como tal, obrigatoriamente reajustada. - Conheço pela divergência (...) - Dou provimento. Quebra de caixa é salarial, paga mês a mês, sem comprovações. Se não houver o que indenizar, trata-se de rendimento do trabalhador, o que descaracteriza a sua condição indenizatória, conforme, aliás, entende a jurisprudência do TST. Proc. TST - RR - 2.041/81, Julgado em 30-04-1982 VENCIDO O MINISTRO NELSON TAPAJÓS (Relator) Arquivo do Ementário Forense, TST/1.466 NO SENTIDO CONTRÁRIO: Recurso de Revista, Proc. TST - RR - 5.310/78, 2ª T. Relator: Ministro NÉLSON TAPAJÓS, ac. de 24/05/79 - in EMENTÁRIO FORENSE, Nº 373. EMFOR 408 EMENTA: - O parágrafo 4º do art 789 da CLT, por dizer respeito, tão-somente, às custas processuais, não alcança as despesas decorrentes de honorários dos peritos. A matéria está regulada pelo art. 20 do Código de Processo Civil, arcando com o pagamento a parte que haja sido vencida no tocante à controvérsia que a perícia objetivou esclarecer, pouco importando, no caso, a sucumbência parcial da outra parte nos demais itens do pedido. RESUMO DO ACÓRDÃO: - ... A matéria está regulada pelo Código de Processo Civil em vigor. Segundo o disposto no art. 20, a sentença condenará o vencido a pagar ao vencedor as despesas que antecipou e os honorários advocatícios, definindo o § 2º., o que se entende como despesas. Ora, ao preceito legal há que ser dado alcance consentâneo com o ordenamento jurídico vigente e o bom sens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 trintenária do FGTS dirige-se somente àqueles depósitos que deixaram de ser recolhidos sobre parcelas efetivamente pagas na época oportuna e não àquelas reconhecidas como devidas e não satisfeitas.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2026-10-16T17:21:11.730Z</dcterms:created>
  <dcterms:modified xsi:type="dcterms:W3CDTF">2026-10-16T17:21:11.730Z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