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02/05/1982</w:t>
      </w:r>
    </w:p>
    <w:p/>
    <w:p>
      <w:r>
        <w:t xml:space="preserve">DISPENSA INJUSTA NO PERÍODO DE SEIS SEMANAS — DIREITO AO BENEFÍCIO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Conhecido o recurso por divergência, contrariou-se o entendimento do digno Relator sob o convencimento do critério objetivo a que presidiu a estruturação do Prejulgado 14. O estado gravídico, independentemente da ciência do empregador, impõe o salário-maternidade nas hipóteses de dispensa imotivada, por iniciativa da empresa. - Por este fundamento, negou-se provimento ao apelo da empresa, por maioria. Proc. TST-RR-2.229/81, Julgado em 03-05-1982 VENCIDO O MINISTRO MARCO AURÉLIO (Relator) Arquivo do Ementário Forense, TST/1.475 ( * ) «Empregada gestante, dispensada sem motivo antes do período de seis semanas anteriores ao parto, tem direito à percepção do salário-maternidade. (EMENTÁRIO FORENSE, Nº 222) EMFOR 409 EMENTA: - A aplicação do disposto no art. 226 da CLT em relação a eletricistas de estabelecimento bancário não afasta a condição essencial exteriorizada pelo engajamento do empregado em categoria diferenciada. RESUMO DO ACÓRDÃO: - O v. aresto regional adotou critério restritivo no sentido de que as horas extras trabalhadas pelo empregado eletricista devem ser pagas dentro dos limites legais, sem aplicação da disposição especial contida no § 2º do art. 224 da CLT, pertinente aos bancários. - Sendo a atividade de eletricista de caráter acessório, no que tange à operacionalidade do estabelecimento, inequívoco que a rotulação de bancário para estes profissionais é imprópria, tendo em vista que os mesmos integram categoria diferenciada. - Não conheço da revista, pois a violação apontada tem conteúdo dispositivo por demais amplo para adequar-se à hipótese presente, regulamentada por preceito onde não se vislumbra lacuna. Proc. TST-RR-5.608/80, Julgado em 15-03-1982 Arquivo do Ementário Forense, TST/1.476 EMFOR 409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termos do verbete do Prejulgado 14(*), a cuja estratificação presidiu critério objetivo, o salário-maternidade é devido no rompimento imotivado do contrato de trabalho, por iniciativa da empresa, independentemente do conhecimento, por esta, do estado gravídico da empregada.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2026-07-28T01:22:44.445Z</dcterms:created>
  <dcterms:modified xsi:type="dcterms:W3CDTF">2026-07-28T01:22:44.445Z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