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RESCISÃO DE CONTRATO A PRAZO</w:t>
      </w:r>
    </w:p>
    <w:p/>
    <w:p>
      <w:r>
        <w:rPr>
          <w:b/>
          <w:bCs/>
        </w:rPr>
        <w:t xml:space="preserve">Recurso: </w:t>
      </w:r>
      <w:r>
        <w:t xml:space="preserve">RE 91.652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MOREIRA ALVES</w:t>
      </w:r>
    </w:p>
    <w:p>
      <w:r>
        <w:rPr>
          <w:b/>
          <w:bCs/>
        </w:rPr>
        <w:t xml:space="preserve">Julgado em: </w:t>
      </w:r>
      <w:r>
        <w:t xml:space="preserve">25/04/1982</w:t>
      </w:r>
    </w:p>
    <w:p/>
    <w:p>
      <w:r>
        <w:t xml:space="preserve">OPÇÃO PELO REGIME TRABALHISTA — FUNCIONÁRIO QUE PLEITEIA CONDIÇÃO DE EMPREGADO - QUAL A JUSTIÇA COMPETENTE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alegada infringência ao art. 142, da Constituição, procede. A leitura do acórdão regional também da inicial está a revelar que a controvérsia gira em torno do direito de opção pelo regime da CLT, questionando-se a necessidade ou não de concordância por parte do cessionário dos serviços. - Conforme reiterados decisões do Supremo Tribunal federal, a competência é da Justiça Comum, por não envolver a ação empregado e empregador. «Rede Ferroviária Federal, Lei nº 6.184, de 11-12-74. A Justiça do Trabalho é incompetente para processar e julgar reclamação de funcionário público cedido à Rede Ferroviária Federal contra a recusa, por parte desta empresa, de sua opção pelo regime da CLT. Precedentes do STF (CJ nº 6.187, RE 91.652 e nº 92.726, todos do Plenário). Recurso extraordinário conhecido e provido. STF _ RE 93.394-8 _ MG _ unanimidade _ Rel. Min. MOREIRA ALVES - Publicado em DJU 06-02-81, pág. 516». Proc. TST-RR-1.184/81, Julgado em 26-04-1982 VENCIDOS OS MINISTROS FERNANDO FRANCO (relator) E PRATES DE MACEDO (revisor). Arquivo do Ementário Forense, TST/1.478 EMFOR 409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6.184/74 - A Justiça do Trabalho é incompetente para apreciar e julgar controvérsia na qual funcionário cedido pleiteia reconhecimento da condição de empregado com base na Lei nº 6.184. A ação não envolve empregado e empregador, não se tratando de caso enquadrável na exceção Constitucional - art. 142, da Carta Magna.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2026-07-28T01:59:42.473Z</dcterms:created>
  <dcterms:modified xsi:type="dcterms:W3CDTF">2026-07-28T01:59:42.473Z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