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Julgado em: </w:t>
      </w:r>
      <w:r>
        <w:t xml:space="preserve">31/05/1982</w:t>
      </w:r>
    </w:p>
    <w:p/>
    <w:p>
      <w:r>
        <w:t xml:space="preserve">QUANDO CONSERVA O EMPREGADO DIREITO ÀS VANTAGENS PECUNIÁRIAS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pode negar fosse de confiança o cargo que exercia o reclamante e do qual foi destituido: Chefe da Seção de cobrança. Assim, não tem razão o reclamante quando lhe nega tal carecterização, que exclui a acolhida do pedido, em sua letra "a". E isso porque a distituição de qualquer empregado, do exercício de qualquer cargo de confiança, é sempre "ad natum" do empregador, perdendo o destituído, em princípio as vantagens próprias de tal exercício. Contudo com duas testemunhas que trouxe a depor, logrou o reclamante comprovar que, destituídos, igualmente, do exercício de funções de chefia, tiveram incorporadas, ao seu salário-base, a gratificação que percebiam por tal exercício. Ora, outro não é o caso do reclamante, considerado dentro desse ângulo, pelo que igual tratamento lhe haveria de ser deferido, como medida de eqüidade, que é boa razão de decidir, como prescrito no art. 8º da CLT. Assim, dou provimento ao recurso, acolhendo o pedido inicial, na alternativa da sua letra "b", impondo à reclamada a condenação respectiva, com as diferenças devidas a serem apuradas em liquidação. Proc. TRT-5.379/81, julgado em 01-06-1982 Arquivo do Ementário Forense, TRT/193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certo que a destituição do empregado, do exercício de cargo de confiança, é "ad nutum" do empregador, perdendo aquele as vantagens específicas de tal exercício. - Mas se a empresa adota o critério de, em tais destituições, incorporar ao salário do empregado tais vantagens, não pode negar tal tratamento a outro, discriminando-o.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2026-10-16T16:13:36.193Z</dcterms:created>
  <dcterms:modified xsi:type="dcterms:W3CDTF">2026-10-16T16:13:36.193Z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