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RESCISÃO DE CONTRATO A PRAZO</w:t>
      </w:r>
    </w:p>
    <w:p/>
    <w:p>
      <w:r>
        <w:rPr>
          <w:b/>
          <w:bCs/>
        </w:rPr>
        <w:t xml:space="preserve">Recurso: </w:t>
      </w:r>
      <w:r>
        <w:t xml:space="preserve">AP -341/82</w:t>
      </w:r>
    </w:p>
    <w:p>
      <w:r>
        <w:rPr>
          <w:b/>
          <w:bCs/>
        </w:rPr>
        <w:t xml:space="preserve">Julgado em: </w:t>
      </w:r>
      <w:r>
        <w:t xml:space="preserve">31/05/1982</w:t>
      </w:r>
    </w:p>
    <w:p/>
    <w:p>
      <w:r>
        <w:t xml:space="preserve">NOVA CORREÇÃO — QUANDO NÃO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A douta Procuradoria Regional, no douto parecer..., bem resume a questão, nestes termos: "Agrava o Departamento de Estradas de Rodagem do Estado do Rio de Janeiro ..., da r. decisão ..., para sustentar em síntese que "expedido o precatório para pagamento do principal, juros e correção monetária", foi cumprida a execução. Nada mais é devido ao exeqüente. - Sem contraminuta a apreciar. - A jurisprudência dominante no E. Tribunal Superior do Trabalho é no sentido de que a incidência de juros e correção monetária não se limite à data da expedição do precatório, se estendendo até a real satisfação do débito sentencial, conforme espelha o V. Acórdão da lavra do Min. COQUEIJO COSTA, transcrito ... . - Dessa forma, opinamos pelo conhecimento, mas improvimento do agravo". DO VOTO - "Data venia" do douto parecer que acaba de ser transcrito e do v. acórdão nele invocado, dou provimento ao agravo. - E isso porque, na execução por precatório, expedido este, cobrindo principal, juros e correção monetária, até sua expedição, a execução estinguir-se-á, não cabendo nova correção, fundada em eventual demora no cumprimento do precatório, com a efetivação do pagamento requisitado, o que fugiria ao espírito e à letra do estabelecido no Decreto-lei nº 75/66. Proc. TRT-AP-341/82, julgado em 01-06-1982 Arquivo do Ementário Forense, TRT/196 EMFOR 412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Expedido o precatório, cobrindo principal, juros e correção monetária, a eventual demora no seu cumprimento, própria da execução por essa forma, não pode ensejar nova correção de valores naquele contemplados, pois, uma vez feito o pagamento respectivo, extingue-se a execução.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2026-07-28T01:53:55.577Z</dcterms:created>
  <dcterms:modified xsi:type="dcterms:W3CDTF">2026-07-28T01:53:55.577Z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